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47F" w:rsidRPr="00ED15DE" w:rsidRDefault="0015686E" w:rsidP="00512028">
      <w:pPr>
        <w:jc w:val="center"/>
        <w:rPr>
          <w:b/>
          <w:sz w:val="36"/>
          <w:u w:val="single"/>
        </w:rPr>
      </w:pPr>
      <w:bookmarkStart w:id="0" w:name="_GoBack"/>
      <w:bookmarkEnd w:id="0"/>
      <w:r w:rsidRPr="00ED15DE">
        <w:rPr>
          <w:b/>
          <w:sz w:val="36"/>
          <w:u w:val="single"/>
        </w:rPr>
        <w:t xml:space="preserve">TTX </w:t>
      </w:r>
      <w:r w:rsidR="00600B2A">
        <w:rPr>
          <w:b/>
          <w:sz w:val="36"/>
          <w:u w:val="single"/>
        </w:rPr>
        <w:t xml:space="preserve">Broker / Dealer </w:t>
      </w:r>
      <w:r w:rsidRPr="00ED15DE">
        <w:rPr>
          <w:b/>
          <w:sz w:val="36"/>
          <w:u w:val="single"/>
        </w:rPr>
        <w:t>RFI – Responses to Questions Received</w:t>
      </w:r>
    </w:p>
    <w:p w:rsidR="0015686E" w:rsidRDefault="0015686E"/>
    <w:p w:rsidR="0015686E" w:rsidRPr="003A5FAB" w:rsidRDefault="0015686E" w:rsidP="003A5FAB">
      <w:pPr>
        <w:pStyle w:val="ListParagraph"/>
        <w:numPr>
          <w:ilvl w:val="0"/>
          <w:numId w:val="1"/>
        </w:numPr>
        <w:spacing w:after="240" w:line="240" w:lineRule="auto"/>
        <w:contextualSpacing w:val="0"/>
        <w:rPr>
          <w:sz w:val="24"/>
        </w:rPr>
      </w:pPr>
      <w:r w:rsidRPr="007E70EF">
        <w:rPr>
          <w:sz w:val="24"/>
        </w:rPr>
        <w:t>Is there a Separate RFI for Direct Issuers?</w:t>
      </w:r>
    </w:p>
    <w:p w:rsidR="00680A0A" w:rsidRPr="00244A59" w:rsidRDefault="0015686E" w:rsidP="00244A59">
      <w:pPr>
        <w:ind w:left="720"/>
      </w:pPr>
      <w:r w:rsidRPr="007E70EF">
        <w:rPr>
          <w:b/>
          <w:sz w:val="24"/>
        </w:rPr>
        <w:t>Response:</w:t>
      </w:r>
      <w:r w:rsidRPr="007E70EF">
        <w:rPr>
          <w:sz w:val="24"/>
        </w:rPr>
        <w:t xml:space="preserve">  </w:t>
      </w:r>
      <w:r w:rsidR="00E42F41">
        <w:t>No. Direct Issuers do not need to complete this RFI. However, if the Direct Issuer also wishes to buy or sell other types of eligible instruments with the City &amp; County</w:t>
      </w:r>
      <w:r w:rsidR="00244A59">
        <w:t xml:space="preserve"> of San Francisco</w:t>
      </w:r>
      <w:r w:rsidR="00E42F41">
        <w:t xml:space="preserve">, then they must complete </w:t>
      </w:r>
      <w:r w:rsidR="00244A59">
        <w:t>the</w:t>
      </w:r>
      <w:r w:rsidR="00E42F41">
        <w:t xml:space="preserve"> RFI. </w:t>
      </w:r>
    </w:p>
    <w:p w:rsidR="00680A0A" w:rsidRPr="007E70EF" w:rsidRDefault="00680A0A" w:rsidP="0015686E">
      <w:pPr>
        <w:pStyle w:val="ListParagraph"/>
        <w:rPr>
          <w:sz w:val="24"/>
        </w:rPr>
      </w:pPr>
    </w:p>
    <w:p w:rsidR="0015686E" w:rsidRPr="007E70EF" w:rsidRDefault="0015686E" w:rsidP="003A5FAB">
      <w:pPr>
        <w:pStyle w:val="ListParagraph"/>
        <w:numPr>
          <w:ilvl w:val="0"/>
          <w:numId w:val="1"/>
        </w:numPr>
        <w:spacing w:after="240" w:line="240" w:lineRule="auto"/>
        <w:contextualSpacing w:val="0"/>
        <w:rPr>
          <w:sz w:val="24"/>
        </w:rPr>
      </w:pPr>
      <w:r w:rsidRPr="007E70EF">
        <w:rPr>
          <w:sz w:val="24"/>
        </w:rPr>
        <w:t xml:space="preserve">Is there a Maximum maturity for the approved corporate </w:t>
      </w:r>
      <w:r w:rsidR="007E70EF">
        <w:rPr>
          <w:sz w:val="24"/>
        </w:rPr>
        <w:t>b</w:t>
      </w:r>
      <w:r w:rsidRPr="007E70EF">
        <w:rPr>
          <w:sz w:val="24"/>
        </w:rPr>
        <w:t>onds?</w:t>
      </w:r>
    </w:p>
    <w:p w:rsidR="0015686E" w:rsidRPr="007E70EF" w:rsidRDefault="0015686E" w:rsidP="00682A52">
      <w:pPr>
        <w:ind w:left="720"/>
        <w:rPr>
          <w:sz w:val="24"/>
        </w:rPr>
      </w:pPr>
      <w:r w:rsidRPr="007E70EF">
        <w:rPr>
          <w:b/>
          <w:sz w:val="24"/>
        </w:rPr>
        <w:t>Response:</w:t>
      </w:r>
      <w:r w:rsidRPr="007E70EF">
        <w:rPr>
          <w:sz w:val="24"/>
        </w:rPr>
        <w:t xml:space="preserve">  Yes.  Per California Government Code, the maximum maturity for securities held in the Pool is 5 years.  TTX, as per section 7.8 of the investment policy, has limited the maximum maturity for approved corporate bonds to 2 years. </w:t>
      </w:r>
    </w:p>
    <w:p w:rsidR="00682A52" w:rsidRPr="007E70EF" w:rsidRDefault="00682A52" w:rsidP="00682A52">
      <w:pPr>
        <w:ind w:left="720"/>
        <w:rPr>
          <w:sz w:val="24"/>
        </w:rPr>
      </w:pPr>
    </w:p>
    <w:p w:rsidR="00682A52" w:rsidRPr="003A5FAB" w:rsidRDefault="00682A52" w:rsidP="003A5FAB">
      <w:pPr>
        <w:pStyle w:val="ListParagraph"/>
        <w:numPr>
          <w:ilvl w:val="0"/>
          <w:numId w:val="1"/>
        </w:numPr>
        <w:spacing w:after="240" w:line="240" w:lineRule="auto"/>
        <w:contextualSpacing w:val="0"/>
        <w:rPr>
          <w:sz w:val="24"/>
        </w:rPr>
      </w:pPr>
      <w:r w:rsidRPr="007E70EF">
        <w:rPr>
          <w:sz w:val="24"/>
        </w:rPr>
        <w:t>Are RFI responses and other materials submitted with an RFI response considered public records?</w:t>
      </w:r>
    </w:p>
    <w:p w:rsidR="00682A52" w:rsidRPr="007E70EF" w:rsidRDefault="00682A52" w:rsidP="00682A52">
      <w:pPr>
        <w:pStyle w:val="ListParagraph"/>
        <w:rPr>
          <w:sz w:val="24"/>
        </w:rPr>
      </w:pPr>
      <w:r w:rsidRPr="007E70EF">
        <w:rPr>
          <w:b/>
          <w:sz w:val="24"/>
        </w:rPr>
        <w:t>Response:</w:t>
      </w:r>
      <w:r w:rsidRPr="007E70EF">
        <w:rPr>
          <w:sz w:val="24"/>
        </w:rPr>
        <w:t xml:space="preserve">  All materials submitted with an RFI response will be public records once the RFI process is concluded.  Potential RFI responders should review California and San Francisco regulations as they relate to what are and what are not public records:</w:t>
      </w:r>
    </w:p>
    <w:p w:rsidR="00682A52" w:rsidRPr="007E70EF" w:rsidRDefault="00682A52" w:rsidP="00682A52">
      <w:pPr>
        <w:spacing w:after="120" w:line="240" w:lineRule="auto"/>
        <w:ind w:left="1440"/>
        <w:rPr>
          <w:sz w:val="24"/>
        </w:rPr>
      </w:pPr>
      <w:r w:rsidRPr="007E70EF">
        <w:rPr>
          <w:sz w:val="24"/>
        </w:rPr>
        <w:t>The San Francisco Sunshine Ordinance:</w:t>
      </w:r>
    </w:p>
    <w:p w:rsidR="00682A52" w:rsidRPr="007E70EF" w:rsidRDefault="0052390C" w:rsidP="00682A52">
      <w:pPr>
        <w:ind w:left="1440" w:firstLine="720"/>
        <w:rPr>
          <w:sz w:val="24"/>
        </w:rPr>
      </w:pPr>
      <w:hyperlink r:id="rId5" w:history="1">
        <w:r w:rsidR="00682A52" w:rsidRPr="007E70EF">
          <w:rPr>
            <w:rStyle w:val="Hyperlink"/>
            <w:sz w:val="24"/>
          </w:rPr>
          <w:t>https://www.sfcityattorney.org/good-government/sunshine/sunshine-ordinance/</w:t>
        </w:r>
      </w:hyperlink>
    </w:p>
    <w:p w:rsidR="00682A52" w:rsidRPr="007E70EF" w:rsidRDefault="00682A52" w:rsidP="00682A52">
      <w:pPr>
        <w:spacing w:after="120" w:line="240" w:lineRule="auto"/>
        <w:ind w:left="1440"/>
        <w:rPr>
          <w:sz w:val="24"/>
        </w:rPr>
      </w:pPr>
      <w:r w:rsidRPr="007E70EF">
        <w:rPr>
          <w:sz w:val="24"/>
        </w:rPr>
        <w:t xml:space="preserve">The California Public Records Act.  </w:t>
      </w:r>
    </w:p>
    <w:p w:rsidR="00682A52" w:rsidRPr="007E70EF" w:rsidRDefault="0052390C" w:rsidP="00682A52">
      <w:pPr>
        <w:ind w:left="2160"/>
        <w:rPr>
          <w:sz w:val="24"/>
        </w:rPr>
      </w:pPr>
      <w:hyperlink r:id="rId6" w:history="1">
        <w:r w:rsidR="00682A52" w:rsidRPr="007E70EF">
          <w:rPr>
            <w:rStyle w:val="Hyperlink"/>
            <w:sz w:val="24"/>
          </w:rPr>
          <w:t>https://leginfo.legislature.ca.gov/faces/codes_displayText.xhtml?division=7.&amp;chapter=3.5.&amp;lawCode=GOV&amp;title=1.&amp;article=1</w:t>
        </w:r>
      </w:hyperlink>
    </w:p>
    <w:p w:rsidR="00682A52" w:rsidRPr="007E70EF" w:rsidRDefault="00682A52" w:rsidP="00682A52">
      <w:pPr>
        <w:pStyle w:val="ListParagraph"/>
        <w:rPr>
          <w:sz w:val="24"/>
        </w:rPr>
      </w:pPr>
    </w:p>
    <w:p w:rsidR="005205C6" w:rsidRPr="007E70EF" w:rsidRDefault="005205C6" w:rsidP="003A5FAB">
      <w:pPr>
        <w:pStyle w:val="ListParagraph"/>
        <w:numPr>
          <w:ilvl w:val="0"/>
          <w:numId w:val="1"/>
        </w:numPr>
        <w:spacing w:after="240" w:line="240" w:lineRule="auto"/>
        <w:contextualSpacing w:val="0"/>
        <w:rPr>
          <w:sz w:val="24"/>
        </w:rPr>
      </w:pPr>
      <w:r w:rsidRPr="007E70EF">
        <w:rPr>
          <w:sz w:val="24"/>
        </w:rPr>
        <w:t>Page 11 (of 22) of the RFI, Question # 18.  There is a reference to Question #4 (Above).  Should the reference be to question # 17 instead?</w:t>
      </w:r>
    </w:p>
    <w:p w:rsidR="005205C6" w:rsidRPr="007E70EF" w:rsidRDefault="005205C6" w:rsidP="005205C6">
      <w:pPr>
        <w:ind w:left="720"/>
        <w:rPr>
          <w:sz w:val="24"/>
        </w:rPr>
      </w:pPr>
      <w:r w:rsidRPr="007E70EF">
        <w:rPr>
          <w:b/>
          <w:sz w:val="24"/>
        </w:rPr>
        <w:t>Response:</w:t>
      </w:r>
      <w:r w:rsidRPr="007E70EF">
        <w:rPr>
          <w:sz w:val="24"/>
        </w:rPr>
        <w:t xml:space="preserve">  Yes.  It should read “…listed in Question #17 (Above)?”</w:t>
      </w:r>
    </w:p>
    <w:p w:rsidR="005205C6" w:rsidRPr="007E70EF" w:rsidRDefault="005205C6" w:rsidP="005205C6">
      <w:pPr>
        <w:ind w:left="720"/>
        <w:rPr>
          <w:sz w:val="24"/>
        </w:rPr>
      </w:pPr>
    </w:p>
    <w:p w:rsidR="005205C6" w:rsidRPr="007E70EF" w:rsidRDefault="005205C6" w:rsidP="003A5FAB">
      <w:pPr>
        <w:pStyle w:val="ListParagraph"/>
        <w:numPr>
          <w:ilvl w:val="0"/>
          <w:numId w:val="1"/>
        </w:numPr>
        <w:spacing w:after="240" w:line="240" w:lineRule="auto"/>
        <w:contextualSpacing w:val="0"/>
        <w:rPr>
          <w:sz w:val="24"/>
        </w:rPr>
      </w:pPr>
      <w:r w:rsidRPr="007E70EF">
        <w:rPr>
          <w:sz w:val="24"/>
        </w:rPr>
        <w:t>Page 14 (of 22) of the RFI, Question # 30.  Do you want lot size per instrument or just a general lot size?</w:t>
      </w:r>
    </w:p>
    <w:p w:rsidR="005205C6" w:rsidRPr="007E70EF" w:rsidRDefault="005205C6" w:rsidP="005205C6">
      <w:pPr>
        <w:ind w:left="720"/>
        <w:rPr>
          <w:sz w:val="24"/>
        </w:rPr>
      </w:pPr>
      <w:r w:rsidRPr="007E70EF">
        <w:rPr>
          <w:b/>
          <w:sz w:val="24"/>
        </w:rPr>
        <w:t>Response:</w:t>
      </w:r>
      <w:r w:rsidRPr="007E70EF">
        <w:rPr>
          <w:sz w:val="24"/>
        </w:rPr>
        <w:t xml:space="preserve">  We are looking for your firm’s typical lot size by type of instrument.  </w:t>
      </w:r>
    </w:p>
    <w:p w:rsidR="005205C6" w:rsidRPr="007E70EF" w:rsidRDefault="005205C6" w:rsidP="005205C6">
      <w:pPr>
        <w:ind w:left="720"/>
        <w:rPr>
          <w:sz w:val="24"/>
        </w:rPr>
      </w:pPr>
    </w:p>
    <w:p w:rsidR="00512028" w:rsidRPr="003A5FAB" w:rsidRDefault="00512028" w:rsidP="003A5FAB">
      <w:pPr>
        <w:pStyle w:val="ListParagraph"/>
        <w:numPr>
          <w:ilvl w:val="0"/>
          <w:numId w:val="1"/>
        </w:numPr>
        <w:spacing w:after="240" w:line="240" w:lineRule="auto"/>
        <w:contextualSpacing w:val="0"/>
        <w:rPr>
          <w:sz w:val="24"/>
        </w:rPr>
      </w:pPr>
      <w:r w:rsidRPr="007E70EF">
        <w:rPr>
          <w:sz w:val="24"/>
        </w:rPr>
        <w:t>Do you accept URL links within the RFI or do you prefer attachments.</w:t>
      </w:r>
    </w:p>
    <w:p w:rsidR="00512028" w:rsidRDefault="00512028" w:rsidP="00512028">
      <w:pPr>
        <w:pStyle w:val="ListParagraph"/>
        <w:rPr>
          <w:sz w:val="24"/>
        </w:rPr>
      </w:pPr>
      <w:r w:rsidRPr="007E70EF">
        <w:rPr>
          <w:b/>
          <w:sz w:val="24"/>
        </w:rPr>
        <w:t>Response:</w:t>
      </w:r>
      <w:r w:rsidRPr="007E70EF">
        <w:rPr>
          <w:sz w:val="24"/>
        </w:rPr>
        <w:t xml:space="preserve">  Attachments.</w:t>
      </w:r>
    </w:p>
    <w:p w:rsidR="007E70EF" w:rsidRPr="007E70EF" w:rsidRDefault="007E70EF" w:rsidP="00512028">
      <w:pPr>
        <w:pStyle w:val="ListParagraph"/>
        <w:rPr>
          <w:sz w:val="24"/>
        </w:rPr>
      </w:pPr>
    </w:p>
    <w:p w:rsidR="00ED15DE" w:rsidRPr="003A5FAB" w:rsidRDefault="00ED15DE" w:rsidP="003A5FAB">
      <w:pPr>
        <w:pStyle w:val="ListParagraph"/>
        <w:numPr>
          <w:ilvl w:val="0"/>
          <w:numId w:val="1"/>
        </w:numPr>
        <w:spacing w:after="240" w:line="240" w:lineRule="auto"/>
        <w:contextualSpacing w:val="0"/>
        <w:rPr>
          <w:sz w:val="24"/>
        </w:rPr>
      </w:pPr>
      <w:r w:rsidRPr="007E70EF">
        <w:rPr>
          <w:sz w:val="24"/>
        </w:rPr>
        <w:t>Page 21 (of 22) of the RFI.  Certification.  There is a requirement that the certification by signed by two Principals of the Firm.  Does this mean individuals with a Series 24 FINRA license or owners of the firm?</w:t>
      </w:r>
    </w:p>
    <w:p w:rsidR="00ED15DE" w:rsidRPr="007E70EF" w:rsidRDefault="00ED15DE" w:rsidP="00ED15DE">
      <w:pPr>
        <w:ind w:left="720"/>
        <w:rPr>
          <w:sz w:val="24"/>
        </w:rPr>
      </w:pPr>
      <w:r w:rsidRPr="007E70EF">
        <w:rPr>
          <w:b/>
          <w:sz w:val="24"/>
        </w:rPr>
        <w:t>Response:</w:t>
      </w:r>
      <w:r w:rsidRPr="007E70EF">
        <w:rPr>
          <w:sz w:val="24"/>
        </w:rPr>
        <w:t xml:space="preserve">  We mean individuals with a FINRA Series 24 license.</w:t>
      </w:r>
    </w:p>
    <w:sectPr w:rsidR="00ED15DE" w:rsidRPr="007E7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D6E9A"/>
    <w:multiLevelType w:val="hybridMultilevel"/>
    <w:tmpl w:val="BB564F76"/>
    <w:lvl w:ilvl="0" w:tplc="A0B24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6E"/>
    <w:rsid w:val="0015686E"/>
    <w:rsid w:val="00244A59"/>
    <w:rsid w:val="002C441F"/>
    <w:rsid w:val="003A5FAB"/>
    <w:rsid w:val="00512028"/>
    <w:rsid w:val="005205C6"/>
    <w:rsid w:val="0052390C"/>
    <w:rsid w:val="00600B2A"/>
    <w:rsid w:val="00680A0A"/>
    <w:rsid w:val="00682A52"/>
    <w:rsid w:val="007E70EF"/>
    <w:rsid w:val="00806C9E"/>
    <w:rsid w:val="00B565E9"/>
    <w:rsid w:val="00D22374"/>
    <w:rsid w:val="00E42F41"/>
    <w:rsid w:val="00ED15DE"/>
    <w:rsid w:val="00F2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8A824-63DB-4ACF-8F6B-F699A9FB9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86E"/>
    <w:pPr>
      <w:ind w:left="720"/>
      <w:contextualSpacing/>
    </w:pPr>
  </w:style>
  <w:style w:type="character" w:styleId="Hyperlink">
    <w:name w:val="Hyperlink"/>
    <w:basedOn w:val="DefaultParagraphFont"/>
    <w:uiPriority w:val="99"/>
    <w:unhideWhenUsed/>
    <w:rsid w:val="00682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16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nfo.legislature.ca.gov/faces/codes_displayText.xhtml?division=7.&amp;chapter=3.5.&amp;lawCode=GOV&amp;title=1.&amp;article=1" TargetMode="External"/><Relationship Id="rId5" Type="http://schemas.openxmlformats.org/officeDocument/2006/relationships/hyperlink" Target="https://www.sfcityattorney.org/good-government/sunshine/sunshine-ordin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Bob (TTX)</dc:creator>
  <cp:keywords/>
  <dc:description/>
  <cp:lastModifiedBy>Eric Manke</cp:lastModifiedBy>
  <cp:revision>2</cp:revision>
  <cp:lastPrinted>2019-08-22T14:20:00Z</cp:lastPrinted>
  <dcterms:created xsi:type="dcterms:W3CDTF">2019-09-24T19:57:00Z</dcterms:created>
  <dcterms:modified xsi:type="dcterms:W3CDTF">2019-09-24T19:57:00Z</dcterms:modified>
</cp:coreProperties>
</file>