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2835" w14:textId="77777777" w:rsidR="00BE4B29" w:rsidRDefault="00BE4B29" w:rsidP="00BE4B29">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H</w:t>
      </w:r>
      <w:r w:rsidRPr="00A23B0A">
        <w:rPr>
          <w:sz w:val="28"/>
          <w:szCs w:val="22"/>
        </w:rPr>
        <w:t xml:space="preserve">: </w:t>
      </w:r>
      <w:r>
        <w:rPr>
          <w:sz w:val="28"/>
          <w:szCs w:val="22"/>
        </w:rPr>
        <w:t xml:space="preserve"> </w:t>
      </w:r>
      <w:r w:rsidRPr="00A23B0A">
        <w:rPr>
          <w:sz w:val="28"/>
          <w:szCs w:val="22"/>
        </w:rPr>
        <w:t xml:space="preserve">Module </w:t>
      </w:r>
      <w:r>
        <w:rPr>
          <w:sz w:val="28"/>
          <w:szCs w:val="22"/>
        </w:rPr>
        <w:t>3</w:t>
      </w:r>
      <w:r w:rsidRPr="00A23B0A">
        <w:rPr>
          <w:sz w:val="28"/>
          <w:szCs w:val="22"/>
        </w:rPr>
        <w:t xml:space="preserve"> </w:t>
      </w:r>
      <w:r>
        <w:rPr>
          <w:sz w:val="28"/>
          <w:szCs w:val="22"/>
        </w:rPr>
        <w:t xml:space="preserve">- </w:t>
      </w:r>
      <w:r w:rsidRPr="002B155B">
        <w:rPr>
          <w:sz w:val="28"/>
          <w:szCs w:val="22"/>
        </w:rPr>
        <w:t>High Volume Coin and Currency Bank</w:t>
      </w:r>
    </w:p>
    <w:p w14:paraId="19903B91" w14:textId="77777777" w:rsidR="00BE4B29" w:rsidRPr="00FE5308" w:rsidRDefault="00BE4B29" w:rsidP="00BE4B29">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3</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H</w:t>
      </w:r>
      <w:r w:rsidRPr="000A37AD">
        <w:rPr>
          <w:b w:val="0"/>
          <w:bCs/>
        </w:rPr>
        <w:t xml:space="preserve"> to no more than </w:t>
      </w:r>
      <w:r>
        <w:rPr>
          <w:b w:val="0"/>
          <w:bCs/>
        </w:rPr>
        <w:t>20</w:t>
      </w:r>
      <w:r w:rsidRPr="000A37AD">
        <w:rPr>
          <w:b w:val="0"/>
          <w:bCs/>
        </w:rPr>
        <w:t xml:space="preserve"> pages.)</w:t>
      </w:r>
      <w:r w:rsidRPr="00FE5308">
        <w:rPr>
          <w:b w:val="0"/>
          <w:bCs/>
          <w:sz w:val="28"/>
          <w:szCs w:val="22"/>
        </w:rPr>
        <w:t xml:space="preserve"> </w:t>
      </w:r>
    </w:p>
    <w:p w14:paraId="4D49FA00" w14:textId="77777777" w:rsidR="00BE4B29" w:rsidRDefault="00BE4B29" w:rsidP="00BE4B29">
      <w:pPr>
        <w:pStyle w:val="Level2"/>
        <w:numPr>
          <w:ilvl w:val="1"/>
          <w:numId w:val="18"/>
        </w:numPr>
        <w:tabs>
          <w:tab w:val="clear" w:pos="1080"/>
          <w:tab w:val="clear" w:pos="1440"/>
          <w:tab w:val="clear" w:pos="2160"/>
          <w:tab w:val="clear" w:pos="2880"/>
          <w:tab w:val="clear" w:pos="3600"/>
          <w:tab w:val="left" w:pos="720"/>
        </w:tabs>
        <w:ind w:left="360" w:firstLine="0"/>
        <w:rPr>
          <w:b/>
          <w:bCs/>
        </w:rPr>
      </w:pPr>
      <w:r w:rsidRPr="002B155B">
        <w:rPr>
          <w:b/>
          <w:bCs/>
        </w:rPr>
        <w:t>BACKGROUND INFORMATION</w:t>
      </w:r>
    </w:p>
    <w:p w14:paraId="2A08A10D" w14:textId="77777777" w:rsidR="00BE4B29" w:rsidRPr="00D919A8" w:rsidRDefault="00BE4B29" w:rsidP="00BE4B29">
      <w:pPr>
        <w:pStyle w:val="ScopeofServices"/>
        <w:ind w:left="360"/>
        <w:rPr>
          <w:rFonts w:ascii="Times New Roman" w:hAnsi="Times New Roman" w:cs="Times New Roman"/>
          <w:bCs/>
          <w:sz w:val="24"/>
          <w:szCs w:val="24"/>
        </w:rPr>
      </w:pPr>
      <w:r w:rsidRPr="00D919A8">
        <w:rPr>
          <w:rFonts w:ascii="Times New Roman" w:hAnsi="Times New Roman" w:cs="Times New Roman"/>
          <w:bCs/>
          <w:sz w:val="24"/>
          <w:szCs w:val="24"/>
        </w:rPr>
        <w:t xml:space="preserve">The Municipal Transportation </w:t>
      </w:r>
      <w:r>
        <w:rPr>
          <w:rFonts w:ascii="Times New Roman" w:hAnsi="Times New Roman" w:cs="Times New Roman"/>
          <w:bCs/>
          <w:sz w:val="24"/>
          <w:szCs w:val="24"/>
        </w:rPr>
        <w:t xml:space="preserve">Agency </w:t>
      </w:r>
      <w:r w:rsidRPr="00D919A8">
        <w:rPr>
          <w:rFonts w:ascii="Times New Roman" w:hAnsi="Times New Roman" w:cs="Times New Roman"/>
          <w:bCs/>
          <w:sz w:val="24"/>
          <w:szCs w:val="24"/>
        </w:rPr>
        <w:t xml:space="preserve">(MTA) makes significant daily deposits </w:t>
      </w:r>
      <w:r>
        <w:rPr>
          <w:rFonts w:ascii="Times New Roman" w:hAnsi="Times New Roman" w:cs="Times New Roman"/>
          <w:bCs/>
          <w:sz w:val="24"/>
          <w:szCs w:val="24"/>
        </w:rPr>
        <w:t xml:space="preserve">averaging to $94 million per month across all channels. </w:t>
      </w:r>
      <w:r w:rsidRPr="00D919A8">
        <w:rPr>
          <w:rFonts w:ascii="Times New Roman" w:hAnsi="Times New Roman" w:cs="Times New Roman"/>
          <w:bCs/>
          <w:sz w:val="24"/>
          <w:szCs w:val="24"/>
        </w:rPr>
        <w:t>Armored car pickups</w:t>
      </w:r>
      <w:r>
        <w:rPr>
          <w:rFonts w:ascii="Times New Roman" w:hAnsi="Times New Roman" w:cs="Times New Roman"/>
          <w:bCs/>
          <w:sz w:val="24"/>
          <w:szCs w:val="24"/>
        </w:rPr>
        <w:t xml:space="preserve"> </w:t>
      </w:r>
      <w:r w:rsidRPr="00D919A8">
        <w:rPr>
          <w:rFonts w:ascii="Times New Roman" w:hAnsi="Times New Roman" w:cs="Times New Roman"/>
          <w:bCs/>
          <w:sz w:val="24"/>
          <w:szCs w:val="24"/>
        </w:rPr>
        <w:t xml:space="preserve">occur at 1 S. Van Ness Avenue.  </w:t>
      </w:r>
    </w:p>
    <w:p w14:paraId="28173B67" w14:textId="77777777" w:rsidR="00BE4B29" w:rsidRPr="00D919A8" w:rsidRDefault="00BE4B29" w:rsidP="00BE4B29">
      <w:pPr>
        <w:pStyle w:val="ScopeofServices"/>
        <w:ind w:left="360"/>
        <w:rPr>
          <w:rFonts w:ascii="Times New Roman" w:hAnsi="Times New Roman" w:cs="Times New Roman"/>
          <w:bCs/>
          <w:sz w:val="24"/>
          <w:szCs w:val="24"/>
        </w:rPr>
      </w:pPr>
    </w:p>
    <w:p w14:paraId="1E4EA36E" w14:textId="77777777" w:rsidR="00BE4B29" w:rsidRDefault="00BE4B29" w:rsidP="00BE4B29">
      <w:pPr>
        <w:pStyle w:val="ScopeofServices"/>
        <w:ind w:left="360"/>
        <w:rPr>
          <w:bCs/>
        </w:rPr>
      </w:pPr>
      <w:r w:rsidRPr="00D919A8">
        <w:rPr>
          <w:rFonts w:ascii="Times New Roman" w:hAnsi="Times New Roman" w:cs="Times New Roman"/>
          <w:bCs/>
          <w:sz w:val="24"/>
          <w:szCs w:val="24"/>
        </w:rPr>
        <w:t>In November 2019, MTA</w:t>
      </w:r>
      <w:r>
        <w:rPr>
          <w:rFonts w:ascii="Times New Roman" w:hAnsi="Times New Roman" w:cs="Times New Roman"/>
          <w:bCs/>
          <w:sz w:val="24"/>
          <w:szCs w:val="24"/>
        </w:rPr>
        <w:t xml:space="preserve"> started counting and bagging coins in-house as part of their deposit process. </w:t>
      </w:r>
      <w:r w:rsidRPr="00D919A8">
        <w:rPr>
          <w:rFonts w:ascii="Times New Roman" w:hAnsi="Times New Roman" w:cs="Times New Roman"/>
          <w:bCs/>
          <w:sz w:val="24"/>
          <w:szCs w:val="24"/>
        </w:rPr>
        <w:t>MTA receives approximately $2.</w:t>
      </w:r>
      <w:r>
        <w:rPr>
          <w:rFonts w:ascii="Times New Roman" w:hAnsi="Times New Roman" w:cs="Times New Roman"/>
          <w:bCs/>
          <w:sz w:val="24"/>
          <w:szCs w:val="24"/>
        </w:rPr>
        <w:t>3</w:t>
      </w:r>
      <w:r w:rsidRPr="00D919A8">
        <w:rPr>
          <w:rFonts w:ascii="Times New Roman" w:hAnsi="Times New Roman" w:cs="Times New Roman"/>
          <w:bCs/>
          <w:sz w:val="24"/>
          <w:szCs w:val="24"/>
        </w:rPr>
        <w:t xml:space="preserve"> million of coin/currency every month. Coin is sorted and deposited in approximately </w:t>
      </w:r>
      <w:r>
        <w:rPr>
          <w:rFonts w:ascii="Times New Roman" w:hAnsi="Times New Roman" w:cs="Times New Roman"/>
          <w:bCs/>
          <w:sz w:val="24"/>
          <w:szCs w:val="24"/>
        </w:rPr>
        <w:t>70</w:t>
      </w:r>
      <w:r w:rsidRPr="00D919A8">
        <w:rPr>
          <w:rFonts w:ascii="Times New Roman" w:hAnsi="Times New Roman" w:cs="Times New Roman"/>
          <w:bCs/>
          <w:sz w:val="24"/>
          <w:szCs w:val="24"/>
        </w:rPr>
        <w:t xml:space="preserve"> to 8</w:t>
      </w:r>
      <w:r>
        <w:rPr>
          <w:rFonts w:ascii="Times New Roman" w:hAnsi="Times New Roman" w:cs="Times New Roman"/>
          <w:bCs/>
          <w:sz w:val="24"/>
          <w:szCs w:val="24"/>
        </w:rPr>
        <w:t>5</w:t>
      </w:r>
      <w:r w:rsidRPr="00D919A8">
        <w:rPr>
          <w:rFonts w:ascii="Times New Roman" w:hAnsi="Times New Roman" w:cs="Times New Roman"/>
          <w:bCs/>
          <w:sz w:val="24"/>
          <w:szCs w:val="24"/>
        </w:rPr>
        <w:t xml:space="preserve"> full and partial bags per day. </w:t>
      </w:r>
    </w:p>
    <w:p w14:paraId="49E0719A" w14:textId="77777777" w:rsidR="00BE4B29" w:rsidRDefault="00BE4B29" w:rsidP="00BE4B29">
      <w:pPr>
        <w:pStyle w:val="ScopeofServices"/>
        <w:rPr>
          <w:bCs/>
        </w:rPr>
      </w:pPr>
    </w:p>
    <w:p w14:paraId="4272F517" w14:textId="77777777" w:rsidR="00BE4B29" w:rsidRDefault="00BE4B29" w:rsidP="00BE4B29">
      <w:pPr>
        <w:pStyle w:val="ScopeofServices"/>
        <w:ind w:left="360"/>
        <w:rPr>
          <w:bCs/>
        </w:rPr>
      </w:pPr>
      <w:r>
        <w:rPr>
          <w:noProof/>
        </w:rPr>
        <w:drawing>
          <wp:inline distT="0" distB="0" distL="0" distR="0" wp14:anchorId="43DF3B59" wp14:editId="65F4991A">
            <wp:extent cx="5848350" cy="2019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2019300"/>
                    </a:xfrm>
                    <a:prstGeom prst="rect">
                      <a:avLst/>
                    </a:prstGeom>
                    <a:noFill/>
                    <a:ln>
                      <a:noFill/>
                    </a:ln>
                  </pic:spPr>
                </pic:pic>
              </a:graphicData>
            </a:graphic>
          </wp:inline>
        </w:drawing>
      </w:r>
    </w:p>
    <w:p w14:paraId="4F314C85" w14:textId="77777777" w:rsidR="00BE4B29" w:rsidRPr="00D919A8" w:rsidRDefault="00BE4B29" w:rsidP="00BE4B29">
      <w:pPr>
        <w:pStyle w:val="ScopeofServices"/>
        <w:rPr>
          <w:rFonts w:ascii="Times New Roman" w:hAnsi="Times New Roman" w:cs="Times New Roman"/>
          <w:bCs/>
          <w:sz w:val="24"/>
          <w:szCs w:val="24"/>
        </w:rPr>
      </w:pPr>
    </w:p>
    <w:p w14:paraId="31516A00" w14:textId="77777777" w:rsidR="00BE4B29" w:rsidRPr="00D919A8" w:rsidRDefault="00BE4B29" w:rsidP="00BE4B29">
      <w:pPr>
        <w:pStyle w:val="ScopeofServices"/>
        <w:ind w:left="360"/>
        <w:rPr>
          <w:rFonts w:ascii="Times New Roman" w:hAnsi="Times New Roman" w:cs="Times New Roman"/>
          <w:bCs/>
          <w:sz w:val="24"/>
          <w:szCs w:val="24"/>
        </w:rPr>
      </w:pPr>
      <w:r>
        <w:rPr>
          <w:rFonts w:ascii="Times New Roman" w:hAnsi="Times New Roman" w:cs="Times New Roman"/>
          <w:bCs/>
          <w:sz w:val="24"/>
          <w:szCs w:val="24"/>
        </w:rPr>
        <w:t xml:space="preserve">MTA employs two third-party parking management vendors to collect deposits at 19 garage locations </w:t>
      </w:r>
      <w:r w:rsidRPr="00C07399">
        <w:rPr>
          <w:rFonts w:ascii="Times New Roman" w:hAnsi="Times New Roman" w:cs="Times New Roman"/>
          <w:bCs/>
          <w:sz w:val="24"/>
          <w:szCs w:val="24"/>
        </w:rPr>
        <w:t xml:space="preserve">and one third party vendor for their two </w:t>
      </w:r>
      <w:proofErr w:type="gramStart"/>
      <w:r w:rsidRPr="00C07399">
        <w:rPr>
          <w:rFonts w:ascii="Times New Roman" w:hAnsi="Times New Roman" w:cs="Times New Roman"/>
          <w:bCs/>
          <w:sz w:val="24"/>
          <w:szCs w:val="24"/>
        </w:rPr>
        <w:t>vehicle</w:t>
      </w:r>
      <w:proofErr w:type="gramEnd"/>
      <w:r w:rsidRPr="00C07399">
        <w:rPr>
          <w:rFonts w:ascii="Times New Roman" w:hAnsi="Times New Roman" w:cs="Times New Roman"/>
          <w:bCs/>
          <w:sz w:val="24"/>
          <w:szCs w:val="24"/>
        </w:rPr>
        <w:t xml:space="preserve"> impound locations</w:t>
      </w:r>
      <w:r w:rsidRPr="00C22079">
        <w:rPr>
          <w:rFonts w:ascii="Times New Roman" w:hAnsi="Times New Roman" w:cs="Times New Roman"/>
          <w:bCs/>
          <w:sz w:val="24"/>
          <w:szCs w:val="24"/>
        </w:rPr>
        <w:t>.</w:t>
      </w:r>
      <w:r>
        <w:rPr>
          <w:rFonts w:ascii="Times New Roman" w:hAnsi="Times New Roman" w:cs="Times New Roman"/>
          <w:bCs/>
          <w:sz w:val="24"/>
          <w:szCs w:val="24"/>
        </w:rPr>
        <w:t xml:space="preserve"> The third-party is responsible for collection and deposit of all receipts. Deposits are currently prepared and made by third-party employees on behalf of MTA at bank branch</w:t>
      </w:r>
      <w:r w:rsidRPr="00D919A8">
        <w:rPr>
          <w:rFonts w:ascii="Times New Roman" w:hAnsi="Times New Roman" w:cs="Times New Roman"/>
          <w:bCs/>
          <w:sz w:val="24"/>
          <w:szCs w:val="24"/>
        </w:rPr>
        <w:t xml:space="preserve"> </w:t>
      </w:r>
      <w:r>
        <w:rPr>
          <w:rFonts w:ascii="Times New Roman" w:hAnsi="Times New Roman" w:cs="Times New Roman"/>
          <w:bCs/>
          <w:sz w:val="24"/>
          <w:szCs w:val="24"/>
        </w:rPr>
        <w:t>locations and through</w:t>
      </w:r>
      <w:r w:rsidRPr="00D919A8">
        <w:rPr>
          <w:rFonts w:ascii="Times New Roman" w:hAnsi="Times New Roman" w:cs="Times New Roman"/>
          <w:bCs/>
          <w:sz w:val="24"/>
          <w:szCs w:val="24"/>
        </w:rPr>
        <w:t xml:space="preserve"> smart safe technology. These safes are leased through </w:t>
      </w:r>
      <w:r>
        <w:rPr>
          <w:rFonts w:ascii="Times New Roman" w:hAnsi="Times New Roman" w:cs="Times New Roman"/>
          <w:bCs/>
          <w:sz w:val="24"/>
          <w:szCs w:val="24"/>
        </w:rPr>
        <w:t>Brinks (Garages) and Garda (Impound)</w:t>
      </w:r>
      <w:r w:rsidRPr="00D919A8">
        <w:rPr>
          <w:rFonts w:ascii="Times New Roman" w:hAnsi="Times New Roman" w:cs="Times New Roman"/>
          <w:bCs/>
          <w:sz w:val="24"/>
          <w:szCs w:val="24"/>
        </w:rPr>
        <w:t xml:space="preserve">. </w:t>
      </w:r>
      <w:r>
        <w:rPr>
          <w:rFonts w:ascii="Times New Roman" w:hAnsi="Times New Roman" w:cs="Times New Roman"/>
          <w:bCs/>
          <w:sz w:val="24"/>
          <w:szCs w:val="24"/>
        </w:rPr>
        <w:t>Approximately $684,000 is deposited monthly through 16 smart safes.</w:t>
      </w:r>
    </w:p>
    <w:p w14:paraId="1B5C5A1E" w14:textId="77777777" w:rsidR="00BE4B29" w:rsidRPr="00D919A8" w:rsidRDefault="00BE4B29" w:rsidP="00BE4B29">
      <w:pPr>
        <w:pStyle w:val="ScopeofServices"/>
        <w:ind w:left="360"/>
        <w:rPr>
          <w:rFonts w:ascii="Times New Roman" w:hAnsi="Times New Roman" w:cs="Times New Roman"/>
          <w:bCs/>
          <w:sz w:val="24"/>
          <w:szCs w:val="24"/>
        </w:rPr>
      </w:pPr>
    </w:p>
    <w:p w14:paraId="40F9FBC1" w14:textId="77777777" w:rsidR="00BE4B29" w:rsidRDefault="00BE4B29" w:rsidP="00BE4B29">
      <w:pPr>
        <w:pStyle w:val="ScopeofServices"/>
        <w:ind w:left="360"/>
        <w:rPr>
          <w:rFonts w:ascii="Times New Roman" w:hAnsi="Times New Roman" w:cs="Times New Roman"/>
          <w:bCs/>
          <w:sz w:val="24"/>
          <w:szCs w:val="24"/>
        </w:rPr>
      </w:pPr>
      <w:r w:rsidRPr="00D919A8">
        <w:rPr>
          <w:rFonts w:ascii="Times New Roman" w:hAnsi="Times New Roman" w:cs="Times New Roman"/>
          <w:bCs/>
          <w:sz w:val="24"/>
          <w:szCs w:val="24"/>
        </w:rPr>
        <w:t xml:space="preserve">This module includes the </w:t>
      </w:r>
      <w:r>
        <w:rPr>
          <w:rFonts w:ascii="Times New Roman" w:hAnsi="Times New Roman" w:cs="Times New Roman"/>
          <w:bCs/>
          <w:sz w:val="24"/>
          <w:szCs w:val="24"/>
        </w:rPr>
        <w:t xml:space="preserve">following </w:t>
      </w:r>
      <w:r w:rsidRPr="00D919A8">
        <w:rPr>
          <w:rFonts w:ascii="Times New Roman" w:hAnsi="Times New Roman" w:cs="Times New Roman"/>
          <w:bCs/>
          <w:sz w:val="24"/>
          <w:szCs w:val="24"/>
        </w:rPr>
        <w:t>16 MTA bank accounts</w:t>
      </w:r>
      <w:r>
        <w:rPr>
          <w:rFonts w:ascii="Times New Roman" w:hAnsi="Times New Roman" w:cs="Times New Roman"/>
          <w:bCs/>
          <w:sz w:val="24"/>
          <w:szCs w:val="24"/>
        </w:rPr>
        <w:t xml:space="preserve"> used to collect coin, currency, checks and deposits of various payments and settlements via EFT:</w:t>
      </w:r>
    </w:p>
    <w:p w14:paraId="513BE032" w14:textId="77777777" w:rsidR="00BE4B29" w:rsidRPr="00D919A8" w:rsidRDefault="00BE4B29" w:rsidP="00BE4B29">
      <w:pPr>
        <w:pStyle w:val="ScopeofServices"/>
        <w:ind w:left="360"/>
        <w:rPr>
          <w:rFonts w:ascii="Times New Roman" w:hAnsi="Times New Roman" w:cs="Times New Roman"/>
          <w:bCs/>
          <w:sz w:val="24"/>
          <w:szCs w:val="24"/>
        </w:rPr>
      </w:pPr>
    </w:p>
    <w:p w14:paraId="0114CA24"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Main Depository</w:t>
      </w:r>
    </w:p>
    <w:p w14:paraId="159B70BE"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Muni Clipper Fare &amp; Garage OTC</w:t>
      </w:r>
    </w:p>
    <w:p w14:paraId="0740DC34"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w:t>
      </w:r>
      <w:r>
        <w:rPr>
          <w:rFonts w:ascii="Times New Roman" w:hAnsi="Times New Roman" w:cs="Times New Roman"/>
          <w:bCs/>
          <w:sz w:val="24"/>
          <w:szCs w:val="24"/>
        </w:rPr>
        <w:t>A</w:t>
      </w:r>
      <w:r w:rsidRPr="00D919A8">
        <w:rPr>
          <w:rFonts w:ascii="Times New Roman" w:hAnsi="Times New Roman" w:cs="Times New Roman"/>
          <w:bCs/>
          <w:sz w:val="24"/>
          <w:szCs w:val="24"/>
        </w:rPr>
        <w:t xml:space="preserve"> Muni Pass OTC Credit Card</w:t>
      </w:r>
    </w:p>
    <w:p w14:paraId="5E4C7830"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Fare Mobile</w:t>
      </w:r>
    </w:p>
    <w:p w14:paraId="36ABC1F6"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Sustainable Streets Parking</w:t>
      </w:r>
    </w:p>
    <w:p w14:paraId="763CC78A"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Sustainable Streets Parking Online Credit Card</w:t>
      </w:r>
    </w:p>
    <w:p w14:paraId="14BFFCC9"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Taxi Main Depository</w:t>
      </w:r>
    </w:p>
    <w:p w14:paraId="2451640B"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Taxi Credit Card</w:t>
      </w:r>
    </w:p>
    <w:p w14:paraId="6177B63D"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Garage Depository</w:t>
      </w:r>
    </w:p>
    <w:p w14:paraId="48971D7F"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Garages Credit Card</w:t>
      </w:r>
    </w:p>
    <w:p w14:paraId="68537B15"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lastRenderedPageBreak/>
        <w:t>MTA Parking Customer Service</w:t>
      </w:r>
    </w:p>
    <w:p w14:paraId="65A5CEAF"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Parking CSC Credit Card</w:t>
      </w:r>
    </w:p>
    <w:p w14:paraId="24F70BA8"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Depository Parking Citation Pay-by-Web &amp; Pay-by-Phone</w:t>
      </w:r>
    </w:p>
    <w:p w14:paraId="3486FE14"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Parking Meter Credit Card</w:t>
      </w:r>
    </w:p>
    <w:p w14:paraId="39CE1B22"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Parking Permits Online</w:t>
      </w:r>
    </w:p>
    <w:p w14:paraId="32F3C756" w14:textId="77777777" w:rsidR="00BE4B29" w:rsidRPr="00D919A8" w:rsidRDefault="00BE4B29" w:rsidP="00BE4B29">
      <w:pPr>
        <w:pStyle w:val="ScopeofServices"/>
        <w:numPr>
          <w:ilvl w:val="0"/>
          <w:numId w:val="16"/>
        </w:numPr>
        <w:ind w:left="1080"/>
        <w:rPr>
          <w:rFonts w:ascii="Times New Roman" w:hAnsi="Times New Roman" w:cs="Times New Roman"/>
          <w:bCs/>
          <w:sz w:val="24"/>
          <w:szCs w:val="24"/>
        </w:rPr>
      </w:pPr>
      <w:r w:rsidRPr="00D919A8">
        <w:rPr>
          <w:rFonts w:ascii="Times New Roman" w:hAnsi="Times New Roman" w:cs="Times New Roman"/>
          <w:bCs/>
          <w:sz w:val="24"/>
          <w:szCs w:val="24"/>
        </w:rPr>
        <w:t>MTA Parking Transit Card/Miscellaneous</w:t>
      </w:r>
    </w:p>
    <w:p w14:paraId="4D32FBDE" w14:textId="77777777" w:rsidR="00BE4B29" w:rsidRDefault="00BE4B29" w:rsidP="00BE4B29">
      <w:pPr>
        <w:pStyle w:val="ScopeofServices"/>
        <w:rPr>
          <w:rFonts w:ascii="Times New Roman" w:hAnsi="Times New Roman" w:cs="Times New Roman"/>
          <w:sz w:val="24"/>
          <w:szCs w:val="24"/>
        </w:rPr>
      </w:pPr>
    </w:p>
    <w:p w14:paraId="37F55462" w14:textId="77777777" w:rsidR="00BE4B29" w:rsidRPr="00D919A8" w:rsidRDefault="00BE4B29" w:rsidP="00BE4B29">
      <w:pPr>
        <w:pStyle w:val="ScopeofServices"/>
        <w:ind w:left="360"/>
        <w:rPr>
          <w:rFonts w:ascii="Times New Roman" w:hAnsi="Times New Roman" w:cs="Times New Roman"/>
          <w:sz w:val="24"/>
          <w:szCs w:val="24"/>
        </w:rPr>
      </w:pPr>
      <w:r>
        <w:rPr>
          <w:rFonts w:ascii="Times New Roman" w:hAnsi="Times New Roman" w:cs="Times New Roman"/>
          <w:sz w:val="24"/>
          <w:szCs w:val="24"/>
        </w:rPr>
        <w:t xml:space="preserve">Desired </w:t>
      </w:r>
      <w:r w:rsidRPr="00D919A8">
        <w:rPr>
          <w:rFonts w:ascii="Times New Roman" w:hAnsi="Times New Roman" w:cs="Times New Roman"/>
          <w:sz w:val="24"/>
          <w:szCs w:val="24"/>
        </w:rPr>
        <w:t>services include:</w:t>
      </w:r>
    </w:p>
    <w:p w14:paraId="59B2FA2F" w14:textId="77777777" w:rsidR="00BE4B29" w:rsidRPr="00D919A8" w:rsidRDefault="00BE4B29" w:rsidP="00BE4B29">
      <w:pPr>
        <w:pStyle w:val="ScopeofServices"/>
        <w:rPr>
          <w:rFonts w:ascii="Times New Roman" w:hAnsi="Times New Roman" w:cs="Times New Roman"/>
          <w:sz w:val="24"/>
          <w:szCs w:val="24"/>
        </w:rPr>
      </w:pPr>
    </w:p>
    <w:p w14:paraId="4234BAF6" w14:textId="77777777" w:rsidR="00BE4B29" w:rsidRPr="00C8048F" w:rsidRDefault="00BE4B29" w:rsidP="00BE4B29">
      <w:pPr>
        <w:pStyle w:val="ScopeofServices"/>
        <w:numPr>
          <w:ilvl w:val="0"/>
          <w:numId w:val="17"/>
        </w:numPr>
        <w:ind w:left="1080"/>
        <w:rPr>
          <w:rFonts w:ascii="Times New Roman" w:hAnsi="Times New Roman" w:cs="Times New Roman"/>
          <w:sz w:val="24"/>
          <w:szCs w:val="24"/>
        </w:rPr>
      </w:pPr>
      <w:r>
        <w:rPr>
          <w:rFonts w:ascii="Times New Roman" w:hAnsi="Times New Roman" w:cs="Times New Roman"/>
          <w:sz w:val="24"/>
          <w:szCs w:val="24"/>
        </w:rPr>
        <w:t>Offer all the critical fraud tools and products necessary to protect City’s funds</w:t>
      </w:r>
    </w:p>
    <w:p w14:paraId="7BF539B1" w14:textId="77777777" w:rsidR="00BE4B29" w:rsidRPr="00C8048F" w:rsidRDefault="00BE4B29" w:rsidP="00BE4B29">
      <w:pPr>
        <w:pStyle w:val="ScopeofServices"/>
        <w:numPr>
          <w:ilvl w:val="0"/>
          <w:numId w:val="17"/>
        </w:numPr>
        <w:ind w:left="1080"/>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09B342B3" w14:textId="77777777" w:rsidR="00BE4B29" w:rsidRPr="00201B56" w:rsidRDefault="00BE4B29" w:rsidP="00BE4B29">
      <w:pPr>
        <w:pStyle w:val="ScopeofServices"/>
        <w:numPr>
          <w:ilvl w:val="0"/>
          <w:numId w:val="17"/>
        </w:numPr>
        <w:ind w:left="1080"/>
        <w:rPr>
          <w:rFonts w:ascii="Times New Roman" w:hAnsi="Times New Roman" w:cs="Times New Roman"/>
          <w:sz w:val="24"/>
          <w:szCs w:val="24"/>
        </w:rPr>
      </w:pPr>
      <w:r w:rsidRPr="00201B56">
        <w:rPr>
          <w:rFonts w:ascii="Times New Roman" w:hAnsi="Times New Roman" w:cs="Times New Roman"/>
          <w:sz w:val="24"/>
          <w:szCs w:val="24"/>
        </w:rPr>
        <w:t xml:space="preserve">Ability to meet the branch, vault, and RDC needs of </w:t>
      </w:r>
      <w:r>
        <w:rPr>
          <w:rFonts w:ascii="Times New Roman" w:hAnsi="Times New Roman" w:cs="Times New Roman"/>
          <w:sz w:val="24"/>
          <w:szCs w:val="24"/>
        </w:rPr>
        <w:t>MTA</w:t>
      </w:r>
    </w:p>
    <w:p w14:paraId="3D128932" w14:textId="77777777" w:rsidR="00BE4B29" w:rsidRPr="00201B56" w:rsidRDefault="00BE4B29" w:rsidP="00BE4B29">
      <w:pPr>
        <w:pStyle w:val="ScopeofServices"/>
        <w:numPr>
          <w:ilvl w:val="0"/>
          <w:numId w:val="17"/>
        </w:numPr>
        <w:ind w:left="1080"/>
        <w:rPr>
          <w:rFonts w:ascii="Times New Roman" w:hAnsi="Times New Roman" w:cs="Times New Roman"/>
          <w:sz w:val="24"/>
          <w:szCs w:val="24"/>
        </w:rPr>
      </w:pPr>
      <w:r w:rsidRPr="00201B56">
        <w:rPr>
          <w:rFonts w:ascii="Times New Roman" w:hAnsi="Times New Roman" w:cs="Times New Roman"/>
          <w:sz w:val="24"/>
          <w:szCs w:val="24"/>
        </w:rPr>
        <w:t xml:space="preserve">Provide deposit reconciliation services  </w:t>
      </w:r>
    </w:p>
    <w:p w14:paraId="0B261789" w14:textId="77777777" w:rsidR="00BE4B29" w:rsidRPr="00201B56" w:rsidRDefault="00BE4B29" w:rsidP="00BE4B29">
      <w:pPr>
        <w:pStyle w:val="ScopeofServices"/>
        <w:numPr>
          <w:ilvl w:val="0"/>
          <w:numId w:val="17"/>
        </w:numPr>
        <w:ind w:left="1080"/>
        <w:rPr>
          <w:rFonts w:ascii="Times New Roman" w:hAnsi="Times New Roman" w:cs="Times New Roman"/>
          <w:sz w:val="24"/>
          <w:szCs w:val="24"/>
        </w:rPr>
      </w:pPr>
      <w:r w:rsidRPr="00201B56">
        <w:rPr>
          <w:rFonts w:ascii="Times New Roman" w:hAnsi="Times New Roman" w:cs="Times New Roman"/>
          <w:sz w:val="24"/>
          <w:szCs w:val="24"/>
        </w:rPr>
        <w:t>Provide online access to deposited item images</w:t>
      </w:r>
    </w:p>
    <w:p w14:paraId="4F61AA7A" w14:textId="77777777" w:rsidR="00BE4B29" w:rsidRDefault="00BE4B29" w:rsidP="00BE4B29">
      <w:pPr>
        <w:pStyle w:val="ScopeofServices"/>
        <w:numPr>
          <w:ilvl w:val="0"/>
          <w:numId w:val="17"/>
        </w:numPr>
        <w:ind w:left="1080"/>
        <w:rPr>
          <w:rFonts w:ascii="Times New Roman" w:hAnsi="Times New Roman" w:cs="Times New Roman"/>
          <w:sz w:val="24"/>
          <w:szCs w:val="24"/>
        </w:rPr>
      </w:pPr>
      <w:r w:rsidRPr="00201B56">
        <w:rPr>
          <w:rFonts w:ascii="Times New Roman" w:hAnsi="Times New Roman" w:cs="Times New Roman"/>
          <w:sz w:val="24"/>
          <w:szCs w:val="24"/>
        </w:rPr>
        <w:t>Provide images of returned/NSF checks via transmission (IRI- Incoming Returns Image Service)</w:t>
      </w:r>
    </w:p>
    <w:p w14:paraId="70D5DDA3" w14:textId="77777777" w:rsidR="00BE4B29" w:rsidRPr="00201B56" w:rsidRDefault="00BE4B29" w:rsidP="00BE4B29">
      <w:pPr>
        <w:pStyle w:val="ScopeofServices"/>
        <w:numPr>
          <w:ilvl w:val="0"/>
          <w:numId w:val="17"/>
        </w:numPr>
        <w:ind w:left="1080"/>
        <w:rPr>
          <w:rFonts w:ascii="Times New Roman" w:hAnsi="Times New Roman" w:cs="Times New Roman"/>
          <w:sz w:val="24"/>
          <w:szCs w:val="24"/>
        </w:rPr>
      </w:pPr>
      <w:r>
        <w:rPr>
          <w:rFonts w:ascii="Times New Roman" w:hAnsi="Times New Roman" w:cs="Times New Roman"/>
          <w:sz w:val="24"/>
          <w:szCs w:val="24"/>
        </w:rPr>
        <w:t>Provide a secure method of requesting change orders (preferably online)</w:t>
      </w:r>
    </w:p>
    <w:p w14:paraId="57A4B5D1" w14:textId="77777777" w:rsidR="00BE4B29" w:rsidRPr="00C8048F" w:rsidRDefault="00BE4B29" w:rsidP="00BE4B29">
      <w:pPr>
        <w:pStyle w:val="ScopeofServices"/>
        <w:numPr>
          <w:ilvl w:val="0"/>
          <w:numId w:val="17"/>
        </w:numPr>
        <w:ind w:left="1080"/>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64DFF9A7" w14:textId="77777777" w:rsidR="00BE4B29" w:rsidRDefault="00BE4B29" w:rsidP="00BE4B29">
      <w:pPr>
        <w:pStyle w:val="ScopeofServices"/>
        <w:numPr>
          <w:ilvl w:val="0"/>
          <w:numId w:val="17"/>
        </w:numPr>
        <w:ind w:left="1080"/>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p w14:paraId="7F7956A1" w14:textId="77777777" w:rsidR="00BE4B29" w:rsidRPr="00D919A8" w:rsidRDefault="00BE4B29" w:rsidP="00BE4B29">
      <w:pPr>
        <w:pStyle w:val="ScopeofServices"/>
        <w:numPr>
          <w:ilvl w:val="0"/>
          <w:numId w:val="17"/>
        </w:numPr>
        <w:ind w:left="1080"/>
        <w:rPr>
          <w:rFonts w:ascii="Times New Roman" w:hAnsi="Times New Roman" w:cs="Times New Roman"/>
          <w:sz w:val="24"/>
          <w:szCs w:val="24"/>
        </w:rPr>
      </w:pPr>
      <w:r w:rsidRPr="00D919A8">
        <w:rPr>
          <w:rFonts w:ascii="Times New Roman" w:hAnsi="Times New Roman" w:cs="Times New Roman"/>
          <w:sz w:val="24"/>
          <w:szCs w:val="24"/>
        </w:rPr>
        <w:t>Provide a competitive earnings credit rate for uninvested balances</w:t>
      </w:r>
    </w:p>
    <w:p w14:paraId="6CFD4BF5" w14:textId="77777777" w:rsidR="00BE4B29" w:rsidRDefault="00BE4B29" w:rsidP="00BE4B29">
      <w:pPr>
        <w:pStyle w:val="ScopeofServices"/>
        <w:numPr>
          <w:ilvl w:val="0"/>
          <w:numId w:val="17"/>
        </w:numPr>
        <w:ind w:left="1080"/>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p w14:paraId="4C57DE61" w14:textId="77777777" w:rsidR="00BE4B29" w:rsidRDefault="00BE4B29" w:rsidP="00BE4B29">
      <w:pPr>
        <w:pStyle w:val="Level2"/>
        <w:numPr>
          <w:ilvl w:val="0"/>
          <w:numId w:val="0"/>
        </w:numPr>
        <w:tabs>
          <w:tab w:val="clear" w:pos="1440"/>
          <w:tab w:val="clear" w:pos="2160"/>
          <w:tab w:val="clear" w:pos="2880"/>
          <w:tab w:val="clear" w:pos="3600"/>
          <w:tab w:val="left" w:pos="360"/>
        </w:tabs>
        <w:rPr>
          <w:b/>
          <w:bCs/>
        </w:rPr>
      </w:pPr>
    </w:p>
    <w:p w14:paraId="61FB0A20" w14:textId="77777777" w:rsidR="00BE4B29" w:rsidRPr="002B155B" w:rsidRDefault="00BE4B29" w:rsidP="00BE4B29">
      <w:pPr>
        <w:pStyle w:val="Level2"/>
        <w:numPr>
          <w:ilvl w:val="1"/>
          <w:numId w:val="18"/>
        </w:numPr>
        <w:tabs>
          <w:tab w:val="clear" w:pos="1080"/>
          <w:tab w:val="clear" w:pos="1440"/>
          <w:tab w:val="clear" w:pos="2160"/>
          <w:tab w:val="clear" w:pos="2880"/>
          <w:tab w:val="clear" w:pos="3600"/>
          <w:tab w:val="left" w:pos="360"/>
        </w:tabs>
        <w:ind w:firstLine="0"/>
        <w:rPr>
          <w:b/>
          <w:bCs/>
        </w:rPr>
      </w:pPr>
      <w:r>
        <w:rPr>
          <w:b/>
          <w:bCs/>
        </w:rPr>
        <w:t>REQUESTED INFORMATION</w:t>
      </w:r>
    </w:p>
    <w:p w14:paraId="76C05420"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Vault Processing</w:t>
      </w:r>
    </w:p>
    <w:p w14:paraId="4B683C0C" w14:textId="77777777" w:rsidR="00BE4B29" w:rsidRPr="00997C2E" w:rsidRDefault="00BE4B29" w:rsidP="00BE4B29">
      <w:pPr>
        <w:pStyle w:val="ListParagraph"/>
        <w:numPr>
          <w:ilvl w:val="0"/>
          <w:numId w:val="19"/>
        </w:numPr>
        <w:spacing w:after="120" w:line="240" w:lineRule="auto"/>
        <w:ind w:left="1080"/>
        <w:contextualSpacing w:val="0"/>
      </w:pPr>
      <w:r w:rsidRPr="00997C2E">
        <w:t xml:space="preserve">Which vault location are you proposing </w:t>
      </w:r>
      <w:r>
        <w:fldChar w:fldCharType="begin"/>
      </w:r>
      <w:r>
        <w:instrText xml:space="preserve"> DOCPROPERTY  "Client Short Name"  \* MERGEFORMAT </w:instrText>
      </w:r>
      <w:r>
        <w:fldChar w:fldCharType="separate"/>
      </w:r>
      <w:r>
        <w:t>CCSF</w:t>
      </w:r>
      <w:r>
        <w:fldChar w:fldCharType="end"/>
      </w:r>
      <w:r w:rsidRPr="00997C2E">
        <w:t xml:space="preserve"> use for deposits handled by its armored car provider</w:t>
      </w:r>
      <w:r>
        <w:t>s</w:t>
      </w:r>
      <w:r w:rsidRPr="00997C2E">
        <w:t>?</w:t>
      </w:r>
    </w:p>
    <w:p w14:paraId="78D46BE7" w14:textId="77777777" w:rsidR="00BE4B29" w:rsidRDefault="00BE4B29" w:rsidP="00BE4B29">
      <w:pPr>
        <w:pStyle w:val="ListParagraph"/>
        <w:numPr>
          <w:ilvl w:val="0"/>
          <w:numId w:val="19"/>
        </w:numPr>
        <w:spacing w:after="120" w:line="240" w:lineRule="auto"/>
        <w:ind w:left="1080"/>
        <w:contextualSpacing w:val="0"/>
      </w:pPr>
      <w:r>
        <w:t>Do you own the vault? If not, provide information about the vault operator (i.e. name, number of years of partnership, etc.).</w:t>
      </w:r>
    </w:p>
    <w:p w14:paraId="083C6B11" w14:textId="77777777" w:rsidR="00BE4B29" w:rsidRDefault="00BE4B29" w:rsidP="00BE4B29">
      <w:pPr>
        <w:pStyle w:val="ListParagraph"/>
        <w:numPr>
          <w:ilvl w:val="0"/>
          <w:numId w:val="19"/>
        </w:numPr>
        <w:spacing w:after="120" w:line="240" w:lineRule="auto"/>
        <w:ind w:left="1080"/>
        <w:contextualSpacing w:val="0"/>
      </w:pPr>
      <w:r w:rsidRPr="008F7A66">
        <w:t>What is the ledger cutoff time for deposits at the vault deposit location?</w:t>
      </w:r>
    </w:p>
    <w:p w14:paraId="10E41F41" w14:textId="77777777" w:rsidR="00BE4B29" w:rsidRDefault="00BE4B29" w:rsidP="00BE4B29">
      <w:pPr>
        <w:pStyle w:val="ListParagraph"/>
        <w:numPr>
          <w:ilvl w:val="0"/>
          <w:numId w:val="19"/>
        </w:numPr>
        <w:spacing w:after="120" w:line="240" w:lineRule="auto"/>
        <w:ind w:left="1080"/>
        <w:contextualSpacing w:val="0"/>
      </w:pPr>
      <w:r>
        <w:t>Would you recommend preparing separate deposit tickets for currency/coin and checks included in a deposit bag or can all activity be included on a single ticket for vault deposits?</w:t>
      </w:r>
    </w:p>
    <w:p w14:paraId="1A8FBD4F" w14:textId="77777777" w:rsidR="00BE4B29" w:rsidRPr="009C26DC" w:rsidRDefault="00BE4B29" w:rsidP="00BE4B29">
      <w:pPr>
        <w:pStyle w:val="ListParagraph"/>
        <w:numPr>
          <w:ilvl w:val="0"/>
          <w:numId w:val="19"/>
        </w:numPr>
        <w:spacing w:after="120" w:line="240" w:lineRule="auto"/>
        <w:ind w:left="1080"/>
        <w:contextualSpacing w:val="0"/>
      </w:pPr>
      <w:r>
        <w:t xml:space="preserve">How quickly will vault deposits be counted and verified? </w:t>
      </w:r>
      <w:r w:rsidRPr="002B155B">
        <w:t>(Note: CCSF would prefer not to have deposit corrections occurring many days after the vault deposit is made.)</w:t>
      </w:r>
    </w:p>
    <w:p w14:paraId="175E381F" w14:textId="77777777" w:rsidR="00BE4B29" w:rsidRDefault="00BE4B29" w:rsidP="00BE4B29">
      <w:pPr>
        <w:pStyle w:val="ListParagraph"/>
        <w:numPr>
          <w:ilvl w:val="0"/>
          <w:numId w:val="19"/>
        </w:numPr>
        <w:spacing w:after="120" w:line="240" w:lineRule="auto"/>
        <w:ind w:left="1080"/>
        <w:contextualSpacing w:val="0"/>
      </w:pPr>
      <w:r w:rsidRPr="003D6FB8">
        <w:t xml:space="preserve">Please denote the standard process for communicating </w:t>
      </w:r>
      <w:r>
        <w:t>vault</w:t>
      </w:r>
      <w:r w:rsidRPr="003D6FB8">
        <w:t xml:space="preserve"> corrections regardless of amount and what is the default option:</w:t>
      </w: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636"/>
        <w:gridCol w:w="2635"/>
      </w:tblGrid>
      <w:tr w:rsidR="00BE4B29" w:rsidRPr="00895075" w14:paraId="046AB7CB" w14:textId="77777777" w:rsidTr="002B155B">
        <w:tc>
          <w:tcPr>
            <w:tcW w:w="1905" w:type="dxa"/>
            <w:shd w:val="clear" w:color="auto" w:fill="F2F2F2"/>
            <w:vAlign w:val="center"/>
          </w:tcPr>
          <w:p w14:paraId="149BCE7D" w14:textId="77777777" w:rsidR="00BE4B29" w:rsidRPr="00895075" w:rsidRDefault="00BE4B29" w:rsidP="00813227">
            <w:pPr>
              <w:pStyle w:val="TableParagraph"/>
              <w:spacing w:before="120" w:after="120"/>
              <w:ind w:left="0"/>
              <w:jc w:val="center"/>
              <w:rPr>
                <w:rFonts w:ascii="Times New Roman" w:hAnsi="Times New Roman"/>
                <w:sz w:val="18"/>
                <w:szCs w:val="18"/>
              </w:rPr>
            </w:pPr>
          </w:p>
        </w:tc>
        <w:tc>
          <w:tcPr>
            <w:tcW w:w="2636" w:type="dxa"/>
            <w:shd w:val="clear" w:color="auto" w:fill="F2F2F2"/>
            <w:vAlign w:val="center"/>
          </w:tcPr>
          <w:p w14:paraId="384D40FE" w14:textId="77777777" w:rsidR="00BE4B29" w:rsidRPr="00895075" w:rsidRDefault="00BE4B29" w:rsidP="00813227">
            <w:pPr>
              <w:spacing w:before="120" w:after="120" w:line="259" w:lineRule="auto"/>
              <w:jc w:val="center"/>
              <w:rPr>
                <w:sz w:val="18"/>
                <w:szCs w:val="18"/>
              </w:rPr>
            </w:pPr>
            <w:r w:rsidRPr="00895075">
              <w:rPr>
                <w:sz w:val="18"/>
                <w:szCs w:val="18"/>
              </w:rPr>
              <w:t>Available Option</w:t>
            </w:r>
          </w:p>
        </w:tc>
        <w:tc>
          <w:tcPr>
            <w:tcW w:w="2635" w:type="dxa"/>
            <w:shd w:val="clear" w:color="auto" w:fill="F2F2F2"/>
            <w:vAlign w:val="center"/>
          </w:tcPr>
          <w:p w14:paraId="06C310DE" w14:textId="77777777" w:rsidR="00BE4B29" w:rsidRPr="00895075" w:rsidRDefault="00BE4B29" w:rsidP="00813227">
            <w:pPr>
              <w:spacing w:before="120" w:after="120" w:line="259" w:lineRule="auto"/>
              <w:jc w:val="center"/>
              <w:rPr>
                <w:sz w:val="18"/>
                <w:szCs w:val="18"/>
              </w:rPr>
            </w:pPr>
            <w:r w:rsidRPr="00895075">
              <w:rPr>
                <w:sz w:val="18"/>
                <w:szCs w:val="18"/>
              </w:rPr>
              <w:t>Denote Default Option</w:t>
            </w:r>
          </w:p>
        </w:tc>
      </w:tr>
      <w:tr w:rsidR="00BE4B29" w:rsidRPr="00895075" w14:paraId="210F2A62" w14:textId="77777777" w:rsidTr="002B155B">
        <w:tc>
          <w:tcPr>
            <w:tcW w:w="1905" w:type="dxa"/>
            <w:shd w:val="clear" w:color="auto" w:fill="auto"/>
            <w:vAlign w:val="center"/>
          </w:tcPr>
          <w:p w14:paraId="0D19A17E" w14:textId="77777777" w:rsidR="00BE4B29" w:rsidRPr="00895075" w:rsidRDefault="00BE4B29" w:rsidP="00813227">
            <w:pPr>
              <w:pStyle w:val="TableParagraph"/>
              <w:ind w:left="0"/>
              <w:rPr>
                <w:rFonts w:ascii="Times New Roman" w:hAnsi="Times New Roman"/>
                <w:sz w:val="18"/>
                <w:szCs w:val="18"/>
              </w:rPr>
            </w:pPr>
            <w:r w:rsidRPr="00895075">
              <w:rPr>
                <w:rFonts w:ascii="Times New Roman" w:hAnsi="Times New Roman"/>
                <w:sz w:val="18"/>
                <w:szCs w:val="18"/>
              </w:rPr>
              <w:t>Phone Call</w:t>
            </w:r>
          </w:p>
        </w:tc>
        <w:tc>
          <w:tcPr>
            <w:tcW w:w="2636" w:type="dxa"/>
            <w:shd w:val="clear" w:color="auto" w:fill="auto"/>
            <w:vAlign w:val="center"/>
          </w:tcPr>
          <w:p w14:paraId="2B5521D6" w14:textId="77777777" w:rsidR="00BE4B29" w:rsidRPr="00895075" w:rsidRDefault="00BE4B29" w:rsidP="00813227">
            <w:pPr>
              <w:spacing w:after="160" w:line="259" w:lineRule="auto"/>
              <w:rPr>
                <w:sz w:val="18"/>
                <w:szCs w:val="18"/>
              </w:rPr>
            </w:pPr>
          </w:p>
        </w:tc>
        <w:tc>
          <w:tcPr>
            <w:tcW w:w="2635" w:type="dxa"/>
            <w:shd w:val="clear" w:color="auto" w:fill="auto"/>
          </w:tcPr>
          <w:p w14:paraId="7BFFD805" w14:textId="77777777" w:rsidR="00BE4B29" w:rsidRPr="00895075" w:rsidRDefault="00BE4B29" w:rsidP="00813227">
            <w:pPr>
              <w:spacing w:after="160" w:line="259" w:lineRule="auto"/>
              <w:rPr>
                <w:sz w:val="18"/>
                <w:szCs w:val="18"/>
              </w:rPr>
            </w:pPr>
          </w:p>
        </w:tc>
      </w:tr>
      <w:tr w:rsidR="00BE4B29" w:rsidRPr="00895075" w14:paraId="055E40D4" w14:textId="77777777" w:rsidTr="002B155B">
        <w:tc>
          <w:tcPr>
            <w:tcW w:w="1905" w:type="dxa"/>
            <w:shd w:val="clear" w:color="auto" w:fill="auto"/>
            <w:vAlign w:val="center"/>
          </w:tcPr>
          <w:p w14:paraId="5DD9C119" w14:textId="77777777" w:rsidR="00BE4B29" w:rsidRPr="00895075" w:rsidRDefault="00BE4B29" w:rsidP="00813227">
            <w:pPr>
              <w:pStyle w:val="TableParagraph"/>
              <w:ind w:left="0"/>
              <w:rPr>
                <w:rFonts w:ascii="Times New Roman" w:hAnsi="Times New Roman"/>
                <w:sz w:val="18"/>
                <w:szCs w:val="18"/>
              </w:rPr>
            </w:pPr>
            <w:r w:rsidRPr="00895075">
              <w:rPr>
                <w:rFonts w:ascii="Times New Roman" w:hAnsi="Times New Roman"/>
                <w:sz w:val="18"/>
                <w:szCs w:val="18"/>
              </w:rPr>
              <w:t>Online Notification</w:t>
            </w:r>
          </w:p>
        </w:tc>
        <w:tc>
          <w:tcPr>
            <w:tcW w:w="2636" w:type="dxa"/>
            <w:shd w:val="clear" w:color="auto" w:fill="auto"/>
            <w:vAlign w:val="center"/>
          </w:tcPr>
          <w:p w14:paraId="05D1D193" w14:textId="77777777" w:rsidR="00BE4B29" w:rsidRPr="00895075" w:rsidRDefault="00BE4B29" w:rsidP="00813227">
            <w:pPr>
              <w:spacing w:after="160" w:line="259" w:lineRule="auto"/>
              <w:rPr>
                <w:sz w:val="18"/>
                <w:szCs w:val="18"/>
              </w:rPr>
            </w:pPr>
          </w:p>
        </w:tc>
        <w:tc>
          <w:tcPr>
            <w:tcW w:w="2635" w:type="dxa"/>
            <w:shd w:val="clear" w:color="auto" w:fill="auto"/>
          </w:tcPr>
          <w:p w14:paraId="5D61A0AF" w14:textId="77777777" w:rsidR="00BE4B29" w:rsidRPr="00895075" w:rsidRDefault="00BE4B29" w:rsidP="00813227">
            <w:pPr>
              <w:spacing w:after="160" w:line="259" w:lineRule="auto"/>
              <w:rPr>
                <w:sz w:val="18"/>
                <w:szCs w:val="18"/>
              </w:rPr>
            </w:pPr>
          </w:p>
        </w:tc>
      </w:tr>
      <w:tr w:rsidR="00BE4B29" w:rsidRPr="00895075" w14:paraId="1DA2854A" w14:textId="77777777" w:rsidTr="002B155B">
        <w:tc>
          <w:tcPr>
            <w:tcW w:w="1905" w:type="dxa"/>
            <w:shd w:val="clear" w:color="auto" w:fill="auto"/>
            <w:vAlign w:val="center"/>
          </w:tcPr>
          <w:p w14:paraId="0BE9C409" w14:textId="77777777" w:rsidR="00BE4B29" w:rsidRPr="00895075" w:rsidRDefault="00BE4B29" w:rsidP="00813227">
            <w:pPr>
              <w:pStyle w:val="TableParagraph"/>
              <w:ind w:left="0"/>
              <w:rPr>
                <w:rFonts w:ascii="Times New Roman" w:hAnsi="Times New Roman"/>
                <w:sz w:val="18"/>
                <w:szCs w:val="18"/>
              </w:rPr>
            </w:pPr>
            <w:r w:rsidRPr="00895075">
              <w:rPr>
                <w:rFonts w:ascii="Times New Roman" w:hAnsi="Times New Roman"/>
                <w:sz w:val="18"/>
                <w:szCs w:val="18"/>
              </w:rPr>
              <w:lastRenderedPageBreak/>
              <w:t>Fax</w:t>
            </w:r>
          </w:p>
        </w:tc>
        <w:tc>
          <w:tcPr>
            <w:tcW w:w="2636" w:type="dxa"/>
            <w:shd w:val="clear" w:color="auto" w:fill="auto"/>
            <w:vAlign w:val="center"/>
          </w:tcPr>
          <w:p w14:paraId="22123788" w14:textId="77777777" w:rsidR="00BE4B29" w:rsidRPr="00895075" w:rsidRDefault="00BE4B29" w:rsidP="00813227">
            <w:pPr>
              <w:spacing w:after="160" w:line="259" w:lineRule="auto"/>
              <w:rPr>
                <w:sz w:val="18"/>
                <w:szCs w:val="18"/>
              </w:rPr>
            </w:pPr>
          </w:p>
        </w:tc>
        <w:tc>
          <w:tcPr>
            <w:tcW w:w="2635" w:type="dxa"/>
            <w:shd w:val="clear" w:color="auto" w:fill="auto"/>
          </w:tcPr>
          <w:p w14:paraId="2FE920F8" w14:textId="77777777" w:rsidR="00BE4B29" w:rsidRPr="00895075" w:rsidRDefault="00BE4B29" w:rsidP="00813227">
            <w:pPr>
              <w:spacing w:after="160" w:line="259" w:lineRule="auto"/>
              <w:rPr>
                <w:sz w:val="18"/>
                <w:szCs w:val="18"/>
              </w:rPr>
            </w:pPr>
          </w:p>
        </w:tc>
      </w:tr>
      <w:tr w:rsidR="00BE4B29" w:rsidRPr="00895075" w14:paraId="087937FA" w14:textId="77777777" w:rsidTr="002B155B">
        <w:tc>
          <w:tcPr>
            <w:tcW w:w="1905" w:type="dxa"/>
            <w:shd w:val="clear" w:color="auto" w:fill="auto"/>
            <w:vAlign w:val="center"/>
          </w:tcPr>
          <w:p w14:paraId="7EE02E63" w14:textId="77777777" w:rsidR="00BE4B29" w:rsidRPr="00895075" w:rsidRDefault="00BE4B29" w:rsidP="00813227">
            <w:pPr>
              <w:pStyle w:val="TableParagraph"/>
              <w:ind w:left="0"/>
              <w:rPr>
                <w:rFonts w:ascii="Times New Roman" w:hAnsi="Times New Roman"/>
                <w:sz w:val="18"/>
                <w:szCs w:val="18"/>
              </w:rPr>
            </w:pPr>
            <w:r w:rsidRPr="00895075">
              <w:rPr>
                <w:rFonts w:ascii="Times New Roman" w:hAnsi="Times New Roman"/>
                <w:sz w:val="18"/>
                <w:szCs w:val="18"/>
              </w:rPr>
              <w:t>E-mail</w:t>
            </w:r>
          </w:p>
        </w:tc>
        <w:tc>
          <w:tcPr>
            <w:tcW w:w="2636" w:type="dxa"/>
            <w:shd w:val="clear" w:color="auto" w:fill="auto"/>
            <w:vAlign w:val="center"/>
          </w:tcPr>
          <w:p w14:paraId="7960893E" w14:textId="77777777" w:rsidR="00BE4B29" w:rsidRPr="00895075" w:rsidRDefault="00BE4B29" w:rsidP="00813227">
            <w:pPr>
              <w:spacing w:after="160" w:line="259" w:lineRule="auto"/>
              <w:rPr>
                <w:sz w:val="18"/>
                <w:szCs w:val="18"/>
              </w:rPr>
            </w:pPr>
          </w:p>
        </w:tc>
        <w:tc>
          <w:tcPr>
            <w:tcW w:w="2635" w:type="dxa"/>
            <w:shd w:val="clear" w:color="auto" w:fill="auto"/>
          </w:tcPr>
          <w:p w14:paraId="077E0457" w14:textId="77777777" w:rsidR="00BE4B29" w:rsidRPr="00895075" w:rsidRDefault="00BE4B29" w:rsidP="00813227">
            <w:pPr>
              <w:spacing w:after="160" w:line="259" w:lineRule="auto"/>
              <w:rPr>
                <w:sz w:val="18"/>
                <w:szCs w:val="18"/>
              </w:rPr>
            </w:pPr>
          </w:p>
        </w:tc>
      </w:tr>
    </w:tbl>
    <w:p w14:paraId="2D653867" w14:textId="77777777" w:rsidR="00BE4B29" w:rsidRPr="003D6FB8" w:rsidRDefault="00BE4B29" w:rsidP="00BE4B29">
      <w:pPr>
        <w:pStyle w:val="ListParagraph"/>
        <w:spacing w:after="160" w:line="259" w:lineRule="auto"/>
        <w:ind w:left="2160"/>
      </w:pPr>
    </w:p>
    <w:p w14:paraId="1F31A54E" w14:textId="77777777" w:rsidR="00BE4B29" w:rsidRDefault="00BE4B29" w:rsidP="00BE4B29">
      <w:pPr>
        <w:pStyle w:val="ListParagraph"/>
        <w:numPr>
          <w:ilvl w:val="0"/>
          <w:numId w:val="19"/>
        </w:numPr>
        <w:spacing w:after="120" w:line="240" w:lineRule="auto"/>
        <w:ind w:left="1080"/>
        <w:contextualSpacing w:val="0"/>
      </w:pPr>
      <w:r>
        <w:t>Describe the level of detail available when describing discrepancies or corrections.</w:t>
      </w:r>
    </w:p>
    <w:p w14:paraId="4E9F6BAA" w14:textId="77777777" w:rsidR="00BE4B29" w:rsidRPr="003D6FB8" w:rsidRDefault="00BE4B29" w:rsidP="00BE4B29">
      <w:pPr>
        <w:pStyle w:val="ListParagraph"/>
        <w:numPr>
          <w:ilvl w:val="0"/>
          <w:numId w:val="19"/>
        </w:numPr>
        <w:spacing w:after="120" w:line="240" w:lineRule="auto"/>
        <w:ind w:left="1080"/>
        <w:contextualSpacing w:val="0"/>
      </w:pPr>
      <w:r>
        <w:t>Is there a de minimis amount below which you write off deposit adjustments; if so, what is it?</w:t>
      </w:r>
    </w:p>
    <w:p w14:paraId="54F239CA" w14:textId="77777777" w:rsidR="00BE4B29" w:rsidRPr="002F48EB" w:rsidRDefault="00BE4B29" w:rsidP="00BE4B29">
      <w:pPr>
        <w:pStyle w:val="ListParagraph"/>
        <w:numPr>
          <w:ilvl w:val="0"/>
          <w:numId w:val="19"/>
        </w:numPr>
        <w:spacing w:after="120" w:line="240" w:lineRule="auto"/>
        <w:ind w:left="1080"/>
        <w:contextualSpacing w:val="0"/>
      </w:pPr>
      <w:r w:rsidRPr="002F48EB">
        <w:t>At your vault location, are you willing to accept and process “subject-to-count” bags of coin?  Is there an additional cost for subject-to-count deposit bags?</w:t>
      </w:r>
    </w:p>
    <w:p w14:paraId="6B9FDCD6"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Coin Orders</w:t>
      </w:r>
    </w:p>
    <w:p w14:paraId="6EE7F181" w14:textId="77777777" w:rsidR="00BE4B29" w:rsidRPr="007B22DD" w:rsidRDefault="00BE4B29" w:rsidP="00BE4B29">
      <w:pPr>
        <w:pStyle w:val="ListParagraph"/>
        <w:numPr>
          <w:ilvl w:val="0"/>
          <w:numId w:val="20"/>
        </w:numPr>
        <w:spacing w:after="120" w:line="240" w:lineRule="auto"/>
        <w:ind w:left="1080"/>
        <w:contextualSpacing w:val="0"/>
      </w:pPr>
      <w:r w:rsidRPr="007B22DD">
        <w:t xml:space="preserve">Are deliveries of change and currency orders available via the armored car? If so, explain the timelines and procedures for placing change and currency order requests. </w:t>
      </w:r>
    </w:p>
    <w:p w14:paraId="5328D421" w14:textId="77777777" w:rsidR="00BE4B29" w:rsidRPr="00A30E45" w:rsidRDefault="00BE4B29" w:rsidP="00BE4B29">
      <w:pPr>
        <w:pStyle w:val="ListParagraph"/>
        <w:numPr>
          <w:ilvl w:val="0"/>
          <w:numId w:val="20"/>
        </w:numPr>
        <w:spacing w:after="120" w:line="240" w:lineRule="auto"/>
        <w:ind w:left="1080"/>
        <w:contextualSpacing w:val="0"/>
      </w:pPr>
      <w:r>
        <w:t>What are the available methods for ordering change and currency?  Can change and currency orders be placed online?</w:t>
      </w:r>
    </w:p>
    <w:p w14:paraId="605ECFFA"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Coin Deposit Availability</w:t>
      </w:r>
    </w:p>
    <w:p w14:paraId="305D896E" w14:textId="77777777" w:rsidR="00BE4B29" w:rsidRPr="000B2192" w:rsidRDefault="00BE4B29" w:rsidP="00BE4B29">
      <w:pPr>
        <w:pStyle w:val="ListParagraph"/>
        <w:numPr>
          <w:ilvl w:val="0"/>
          <w:numId w:val="21"/>
        </w:numPr>
        <w:spacing w:after="120" w:line="240" w:lineRule="auto"/>
        <w:ind w:left="1080"/>
        <w:contextualSpacing w:val="0"/>
      </w:pPr>
      <w:r w:rsidRPr="000B2192">
        <w:t xml:space="preserve">When will ledger credit be given for </w:t>
      </w:r>
      <w:r>
        <w:t xml:space="preserve">large </w:t>
      </w:r>
      <w:r w:rsidRPr="000B2192">
        <w:t>coin deposits from MTA (i.e. when deposits are received or when deposits are counted and verified)?</w:t>
      </w:r>
    </w:p>
    <w:p w14:paraId="0F6E121D" w14:textId="77777777" w:rsidR="00BE4B29" w:rsidRDefault="00BE4B29" w:rsidP="00BE4B29">
      <w:pPr>
        <w:pStyle w:val="ListParagraph"/>
        <w:numPr>
          <w:ilvl w:val="0"/>
          <w:numId w:val="21"/>
        </w:numPr>
        <w:spacing w:after="120" w:line="240" w:lineRule="auto"/>
        <w:ind w:left="1080"/>
        <w:contextualSpacing w:val="0"/>
      </w:pPr>
      <w:r>
        <w:t xml:space="preserve">How soon after receipt of large coin deposits will the deposit become an available balance? </w:t>
      </w:r>
    </w:p>
    <w:p w14:paraId="0CB98B26"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Smart Safes</w:t>
      </w:r>
    </w:p>
    <w:p w14:paraId="451BF584" w14:textId="77777777" w:rsidR="00BE4B29" w:rsidRDefault="00BE4B29" w:rsidP="00BE4B29">
      <w:pPr>
        <w:pStyle w:val="ListParagraph"/>
        <w:numPr>
          <w:ilvl w:val="0"/>
          <w:numId w:val="22"/>
        </w:numPr>
        <w:spacing w:after="120" w:line="240" w:lineRule="auto"/>
        <w:ind w:left="1080"/>
        <w:contextualSpacing w:val="0"/>
      </w:pPr>
      <w:r>
        <w:t>Does your firm have a partnership with armored service providers to receive communication on smart safe deposits?  If yes, please enumerate.</w:t>
      </w:r>
    </w:p>
    <w:p w14:paraId="5CA69215" w14:textId="77777777" w:rsidR="00BE4B29" w:rsidRDefault="00BE4B29" w:rsidP="00BE4B29">
      <w:pPr>
        <w:pStyle w:val="ListParagraph"/>
        <w:numPr>
          <w:ilvl w:val="0"/>
          <w:numId w:val="22"/>
        </w:numPr>
        <w:spacing w:after="120" w:line="240" w:lineRule="auto"/>
        <w:ind w:left="1080"/>
        <w:contextualSpacing w:val="0"/>
      </w:pPr>
      <w:r>
        <w:t xml:space="preserve">When depositing funds to a smart safe, are currency deposits credited to </w:t>
      </w:r>
      <w:r>
        <w:fldChar w:fldCharType="begin"/>
      </w:r>
      <w:r>
        <w:instrText xml:space="preserve"> DOCPROPERTY  "Client Short Name"  \* MERGEFORMAT </w:instrText>
      </w:r>
      <w:r>
        <w:fldChar w:fldCharType="separate"/>
      </w:r>
      <w:r>
        <w:t>CCSF</w:t>
      </w:r>
      <w:r>
        <w:fldChar w:fldCharType="end"/>
      </w:r>
      <w:r>
        <w:t>’s bank account on a same-day basis?</w:t>
      </w:r>
    </w:p>
    <w:p w14:paraId="7D3F1441"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Implementation / Conversion</w:t>
      </w:r>
    </w:p>
    <w:p w14:paraId="77F8FFA4" w14:textId="77777777" w:rsidR="00BE4B29" w:rsidRPr="003356A4" w:rsidRDefault="00BE4B29" w:rsidP="00BE4B29">
      <w:pPr>
        <w:pStyle w:val="ListParagraph"/>
        <w:numPr>
          <w:ilvl w:val="0"/>
          <w:numId w:val="27"/>
        </w:numPr>
        <w:spacing w:after="120" w:line="240" w:lineRule="auto"/>
        <w:ind w:left="1080"/>
        <w:contextualSpacing w:val="0"/>
      </w:pPr>
      <w:r>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t>CCSF</w:t>
      </w:r>
      <w:r>
        <w:fldChar w:fldCharType="end"/>
      </w:r>
      <w:r>
        <w:t>’s staff.</w:t>
      </w:r>
    </w:p>
    <w:p w14:paraId="26742480" w14:textId="77777777" w:rsidR="00BE4B29" w:rsidRDefault="00BE4B29" w:rsidP="00BE4B29">
      <w:pPr>
        <w:pStyle w:val="ListParagraph"/>
        <w:numPr>
          <w:ilvl w:val="0"/>
          <w:numId w:val="27"/>
        </w:numPr>
        <w:spacing w:after="120" w:line="240" w:lineRule="auto"/>
        <w:ind w:left="1080"/>
        <w:contextualSpacing w:val="0"/>
      </w:pPr>
      <w:r>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t>CCSF</w:t>
      </w:r>
      <w:r>
        <w:fldChar w:fldCharType="end"/>
      </w:r>
      <w:r>
        <w:t>’s account be transitioned to the ongoing client service team?</w:t>
      </w:r>
    </w:p>
    <w:p w14:paraId="50A907F5" w14:textId="77777777" w:rsidR="00BE4B29" w:rsidRDefault="00BE4B29" w:rsidP="00BE4B29">
      <w:pPr>
        <w:pStyle w:val="ListParagraph"/>
        <w:numPr>
          <w:ilvl w:val="0"/>
          <w:numId w:val="27"/>
        </w:numPr>
        <w:spacing w:after="120" w:line="240" w:lineRule="auto"/>
        <w:ind w:left="1080"/>
        <w:contextualSpacing w:val="0"/>
      </w:pPr>
      <w:r>
        <w:t>What lessons has the firm learned from similar implementations that can be applied to implementing services with CCSF? What recommendations do you have for CCSF based on past implementation experiences?</w:t>
      </w:r>
    </w:p>
    <w:p w14:paraId="7FA32A73"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New Services &amp; Ideas</w:t>
      </w:r>
    </w:p>
    <w:p w14:paraId="31A085EC" w14:textId="77777777" w:rsidR="00BE4B29" w:rsidRDefault="00BE4B29" w:rsidP="00BE4B29">
      <w:pPr>
        <w:pStyle w:val="ListParagraph"/>
        <w:numPr>
          <w:ilvl w:val="0"/>
          <w:numId w:val="23"/>
        </w:numPr>
        <w:spacing w:after="120" w:line="240" w:lineRule="auto"/>
        <w:ind w:left="1080"/>
        <w:contextualSpacing w:val="0"/>
      </w:pPr>
      <w:r>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763E8A38" w14:textId="77777777" w:rsidR="00BE4B29" w:rsidRPr="003356A4" w:rsidRDefault="00BE4B29" w:rsidP="00BE4B29">
      <w:pPr>
        <w:pStyle w:val="ListParagraph"/>
        <w:numPr>
          <w:ilvl w:val="0"/>
          <w:numId w:val="23"/>
        </w:numPr>
        <w:spacing w:after="120" w:line="240" w:lineRule="auto"/>
        <w:ind w:left="1080"/>
        <w:contextualSpacing w:val="0"/>
      </w:pPr>
      <w:r>
        <w:t xml:space="preserve">Provide any additional information that you believe to be pertinent but not specifically requested elsewhere in the RFP. </w:t>
      </w:r>
    </w:p>
    <w:p w14:paraId="58497E3A"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lastRenderedPageBreak/>
        <w:t xml:space="preserve">Pricing </w:t>
      </w:r>
    </w:p>
    <w:p w14:paraId="167C68E4" w14:textId="77777777" w:rsidR="00BE4B29" w:rsidRDefault="00BE4B29" w:rsidP="00BE4B29">
      <w:pPr>
        <w:pStyle w:val="ListParagraph"/>
        <w:numPr>
          <w:ilvl w:val="0"/>
          <w:numId w:val="24"/>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3DD0A2EF" w14:textId="77777777" w:rsidR="00BE4B29" w:rsidRDefault="00BE4B29" w:rsidP="00BE4B29">
      <w:pPr>
        <w:pStyle w:val="ListParagraph"/>
        <w:numPr>
          <w:ilvl w:val="0"/>
          <w:numId w:val="24"/>
        </w:numPr>
        <w:spacing w:after="120" w:line="240" w:lineRule="auto"/>
        <w:ind w:left="1080"/>
        <w:contextualSpacing w:val="0"/>
      </w:pPr>
      <w:r w:rsidRPr="00C96BA3">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080775D5" w14:textId="77777777" w:rsidR="00BE4B29" w:rsidRPr="00DD0E1E" w:rsidRDefault="00BE4B29" w:rsidP="00BE4B29">
      <w:pPr>
        <w:pStyle w:val="ListParagraph"/>
        <w:numPr>
          <w:ilvl w:val="0"/>
          <w:numId w:val="28"/>
        </w:numPr>
        <w:tabs>
          <w:tab w:val="clear" w:pos="1080"/>
        </w:tabs>
        <w:spacing w:after="160" w:line="259" w:lineRule="auto"/>
        <w:ind w:left="720"/>
        <w:contextualSpacing w:val="0"/>
        <w:rPr>
          <w:b/>
          <w:bCs/>
        </w:rPr>
      </w:pPr>
      <w:r w:rsidRPr="00DD0E1E">
        <w:rPr>
          <w:b/>
          <w:bCs/>
        </w:rPr>
        <w:t>References</w:t>
      </w:r>
    </w:p>
    <w:p w14:paraId="2140190A" w14:textId="77777777" w:rsidR="00BE4B29" w:rsidRDefault="00BE4B29" w:rsidP="00BE4B29">
      <w:pPr>
        <w:pStyle w:val="ListParagraph"/>
        <w:numPr>
          <w:ilvl w:val="0"/>
          <w:numId w:val="25"/>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330D5200" w14:textId="77777777" w:rsidR="00BE4B29" w:rsidRDefault="00BE4B29" w:rsidP="00BE4B29">
      <w:pPr>
        <w:pStyle w:val="ListParagraph"/>
        <w:numPr>
          <w:ilvl w:val="0"/>
          <w:numId w:val="26"/>
        </w:numPr>
        <w:spacing w:after="120" w:line="240" w:lineRule="auto"/>
        <w:ind w:left="1800"/>
        <w:contextualSpacing w:val="0"/>
      </w:pPr>
      <w:r>
        <w:t>Name of the entity</w:t>
      </w:r>
    </w:p>
    <w:p w14:paraId="210F9AC6" w14:textId="77777777" w:rsidR="00BE4B29" w:rsidRDefault="00BE4B29" w:rsidP="00BE4B29">
      <w:pPr>
        <w:pStyle w:val="ListParagraph"/>
        <w:numPr>
          <w:ilvl w:val="0"/>
          <w:numId w:val="26"/>
        </w:numPr>
        <w:spacing w:after="120" w:line="240" w:lineRule="auto"/>
        <w:ind w:left="1800"/>
        <w:contextualSpacing w:val="0"/>
      </w:pPr>
      <w:r>
        <w:t>Name, phone number and contact person within the above listed organization</w:t>
      </w:r>
    </w:p>
    <w:p w14:paraId="6EB1706C" w14:textId="77777777" w:rsidR="00BE4B29" w:rsidRDefault="00BE4B29" w:rsidP="00BE4B29">
      <w:pPr>
        <w:pStyle w:val="ListParagraph"/>
        <w:numPr>
          <w:ilvl w:val="0"/>
          <w:numId w:val="26"/>
        </w:numPr>
        <w:spacing w:after="120" w:line="240" w:lineRule="auto"/>
        <w:ind w:left="1800"/>
        <w:contextualSpacing w:val="0"/>
      </w:pPr>
      <w:r>
        <w:t>Type of product/service provided</w:t>
      </w:r>
    </w:p>
    <w:p w14:paraId="2832DEEA" w14:textId="77777777" w:rsidR="00BE4B29" w:rsidRDefault="00BE4B29" w:rsidP="00BE4B29">
      <w:pPr>
        <w:pStyle w:val="ListParagraph"/>
        <w:numPr>
          <w:ilvl w:val="0"/>
          <w:numId w:val="26"/>
        </w:numPr>
        <w:spacing w:after="120" w:line="240" w:lineRule="auto"/>
        <w:ind w:left="1800"/>
        <w:contextualSpacing w:val="0"/>
      </w:pPr>
      <w:r>
        <w:t>Date(s) the services were furnished</w:t>
      </w:r>
    </w:p>
    <w:p w14:paraId="429E7E44" w14:textId="77777777" w:rsidR="00BE4B29" w:rsidRPr="001807E8" w:rsidRDefault="00BE4B29" w:rsidP="00BE4B29">
      <w:pPr>
        <w:spacing w:after="120" w:line="240" w:lineRule="auto"/>
      </w:pPr>
    </w:p>
    <w:p w14:paraId="555EC693" w14:textId="77777777" w:rsidR="00BE4B29" w:rsidRPr="004C074C" w:rsidRDefault="00BE4B29" w:rsidP="00BE4B29">
      <w:pPr>
        <w:pStyle w:val="Level2"/>
        <w:numPr>
          <w:ilvl w:val="1"/>
          <w:numId w:val="18"/>
        </w:numPr>
        <w:tabs>
          <w:tab w:val="clear" w:pos="1080"/>
          <w:tab w:val="clear" w:pos="1440"/>
          <w:tab w:val="clear" w:pos="2160"/>
          <w:tab w:val="clear" w:pos="2880"/>
          <w:tab w:val="clear" w:pos="3600"/>
          <w:tab w:val="left" w:pos="360"/>
        </w:tabs>
        <w:ind w:firstLine="0"/>
        <w:rPr>
          <w:b/>
          <w:bCs/>
        </w:rPr>
      </w:pPr>
      <w:r w:rsidRPr="004C074C">
        <w:rPr>
          <w:b/>
          <w:bCs/>
        </w:rPr>
        <w:t>PRICING PRO FORMA</w:t>
      </w:r>
    </w:p>
    <w:p w14:paraId="2FF4E75F" w14:textId="77777777" w:rsidR="00BE4B29" w:rsidRDefault="00BE4B29" w:rsidP="00BE4B29">
      <w:pPr>
        <w:pStyle w:val="Level1"/>
        <w:numPr>
          <w:ilvl w:val="0"/>
          <w:numId w:val="0"/>
        </w:numPr>
        <w:spacing w:before="0" w:line="240" w:lineRule="auto"/>
      </w:pPr>
      <w:r w:rsidRPr="00F55867">
        <w:t>Firms must provide a completed pro forma (Attachment D).</w:t>
      </w:r>
    </w:p>
    <w:p w14:paraId="615CE58D" w14:textId="77777777" w:rsidR="00BE4B29" w:rsidRPr="00244DD4" w:rsidRDefault="00BE4B29" w:rsidP="00BE4B29">
      <w:pPr>
        <w:pStyle w:val="Level2"/>
        <w:numPr>
          <w:ilvl w:val="0"/>
          <w:numId w:val="0"/>
        </w:numPr>
        <w:spacing w:before="0" w:line="240" w:lineRule="auto"/>
      </w:pPr>
      <w:r w:rsidRPr="00B3039E">
        <w:t xml:space="preserve">The price schedule should use Association of Finance Professionals (AFP) Service Codes. Include any one-time or set-up charges, research fees and all other fees that may be charged. CCSF reserves the right not to pay any fees that are not disclosed during this RFP process if your firm becomes the selected vendor.  </w:t>
      </w:r>
    </w:p>
    <w:p w14:paraId="33D0EC63" w14:textId="089E3698" w:rsidR="003D4967" w:rsidRPr="00BE4B29" w:rsidRDefault="003D4967" w:rsidP="00BE4B29">
      <w:bookmarkStart w:id="0" w:name="_GoBack"/>
      <w:bookmarkEnd w:id="0"/>
    </w:p>
    <w:sectPr w:rsidR="003D4967" w:rsidRPr="00BE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24D78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966C1"/>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135E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36C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07096"/>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1B7E15"/>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D5451"/>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8E7D5F"/>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9E337D"/>
    <w:multiLevelType w:val="hybridMultilevel"/>
    <w:tmpl w:val="08E81AD4"/>
    <w:lvl w:ilvl="0" w:tplc="767AAFBC">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5919"/>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600696B"/>
    <w:multiLevelType w:val="hybridMultilevel"/>
    <w:tmpl w:val="4C4C94AA"/>
    <w:lvl w:ilvl="0" w:tplc="B928A788">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15074"/>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CF786B"/>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FA1205B"/>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226EB9"/>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4C789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B52DAD"/>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1E2410"/>
    <w:multiLevelType w:val="hybridMultilevel"/>
    <w:tmpl w:val="75C0C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7361B8"/>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66068"/>
    <w:multiLevelType w:val="hybridMultilevel"/>
    <w:tmpl w:val="CB74A930"/>
    <w:lvl w:ilvl="0" w:tplc="B5D2EC38">
      <w:start w:val="1"/>
      <w:numFmt w:val="lowerLetter"/>
      <w:lvlText w:val="%1."/>
      <w:lvlJc w:val="left"/>
      <w:pPr>
        <w:ind w:left="1800" w:hanging="360"/>
      </w:pPr>
      <w:rPr>
        <w:i w:val="0"/>
        <w:iCs w:val="0"/>
      </w:rPr>
    </w:lvl>
    <w:lvl w:ilvl="1" w:tplc="04090019">
      <w:start w:val="1"/>
      <w:numFmt w:val="lowerLetter"/>
      <w:lvlText w:val="%2."/>
      <w:lvlJc w:val="left"/>
      <w:pPr>
        <w:ind w:left="1440" w:hanging="360"/>
      </w:pPr>
    </w:lvl>
    <w:lvl w:ilvl="2" w:tplc="2B0019FE">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93525"/>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C45027"/>
    <w:multiLevelType w:val="hybridMultilevel"/>
    <w:tmpl w:val="68CE2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D5A29D9"/>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1"/>
  </w:num>
  <w:num w:numId="5">
    <w:abstractNumId w:val="24"/>
  </w:num>
  <w:num w:numId="6">
    <w:abstractNumId w:val="22"/>
  </w:num>
  <w:num w:numId="7">
    <w:abstractNumId w:val="17"/>
  </w:num>
  <w:num w:numId="8">
    <w:abstractNumId w:val="2"/>
  </w:num>
  <w:num w:numId="9">
    <w:abstractNumId w:val="13"/>
  </w:num>
  <w:num w:numId="10">
    <w:abstractNumId w:val="8"/>
  </w:num>
  <w:num w:numId="11">
    <w:abstractNumId w:val="18"/>
  </w:num>
  <w:num w:numId="12">
    <w:abstractNumId w:val="25"/>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 w:numId="21">
    <w:abstractNumId w:val="23"/>
  </w:num>
  <w:num w:numId="22">
    <w:abstractNumId w:val="3"/>
  </w:num>
  <w:num w:numId="23">
    <w:abstractNumId w:val="6"/>
  </w:num>
  <w:num w:numId="24">
    <w:abstractNumId w:val="10"/>
  </w:num>
  <w:num w:numId="25">
    <w:abstractNumId w:val="16"/>
  </w:num>
  <w:num w:numId="26">
    <w:abstractNumId w:val="21"/>
  </w:num>
  <w:num w:numId="27">
    <w:abstractNumId w:val="5"/>
  </w:num>
  <w:num w:numId="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06AF3"/>
    <w:rsid w:val="003302B3"/>
    <w:rsid w:val="003D4967"/>
    <w:rsid w:val="00510383"/>
    <w:rsid w:val="006E7B57"/>
    <w:rsid w:val="00B37730"/>
    <w:rsid w:val="00B40BF6"/>
    <w:rsid w:val="00BE4B29"/>
    <w:rsid w:val="00D37869"/>
    <w:rsid w:val="00E32A68"/>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5922</Characters>
  <Application>Microsoft Office Word</Application>
  <DocSecurity>0</DocSecurity>
  <Lines>141</Lines>
  <Paragraphs>90</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2021-01-15T14:27:00Z</dcterms:created>
  <dcterms:modified xsi:type="dcterms:W3CDTF">2021-01-15T14:27:00Z</dcterms:modified>
</cp:coreProperties>
</file>